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39" w:rsidRPr="00267161" w:rsidRDefault="00345239" w:rsidP="00267161">
      <w:pPr>
        <w:rPr>
          <w:rFonts w:hint="eastAsia"/>
        </w:rPr>
      </w:pPr>
      <w:r>
        <w:rPr>
          <w:rFonts w:hAnsi="宋体" w:hint="eastAsia"/>
          <w:color w:val="000000"/>
          <w:sz w:val="28"/>
          <w:szCs w:val="28"/>
        </w:rPr>
        <w:t>附件</w:t>
      </w:r>
    </w:p>
    <w:p w:rsidR="00345239" w:rsidRPr="00CE35FE" w:rsidRDefault="00345239" w:rsidP="00345239">
      <w:pPr>
        <w:jc w:val="center"/>
        <w:rPr>
          <w:rFonts w:ascii="宋体" w:hAnsi="宋体" w:hint="eastAsia"/>
          <w:b/>
          <w:sz w:val="72"/>
        </w:rPr>
      </w:pPr>
    </w:p>
    <w:p w:rsidR="00345239" w:rsidRPr="00267161" w:rsidRDefault="00267161" w:rsidP="00267161">
      <w:pPr>
        <w:jc w:val="center"/>
        <w:rPr>
          <w:rFonts w:ascii="宋体" w:hAnsi="宋体" w:hint="eastAsia"/>
          <w:b/>
          <w:sz w:val="32"/>
          <w:szCs w:val="32"/>
        </w:rPr>
      </w:pPr>
      <w:r w:rsidRPr="00267161">
        <w:rPr>
          <w:rFonts w:ascii="宋体" w:hAnsi="宋体" w:hint="eastAsia"/>
          <w:b/>
          <w:sz w:val="32"/>
          <w:szCs w:val="32"/>
        </w:rPr>
        <w:t>宁波市</w:t>
      </w:r>
      <w:r w:rsidR="00345239" w:rsidRPr="00267161">
        <w:rPr>
          <w:rFonts w:ascii="宋体" w:hAnsi="宋体" w:hint="eastAsia"/>
          <w:b/>
          <w:sz w:val="32"/>
          <w:szCs w:val="32"/>
        </w:rPr>
        <w:t>鄞州人民医院中央空调冷却塔维修招标</w:t>
      </w:r>
      <w:r w:rsidRPr="00267161">
        <w:rPr>
          <w:rFonts w:ascii="宋体" w:hAnsi="宋体" w:hint="eastAsia"/>
          <w:b/>
          <w:sz w:val="32"/>
          <w:szCs w:val="32"/>
        </w:rPr>
        <w:t>书</w:t>
      </w:r>
    </w:p>
    <w:p w:rsidR="00345239" w:rsidRDefault="00345239" w:rsidP="00345239">
      <w:pPr>
        <w:rPr>
          <w:rFonts w:hint="eastAsia"/>
          <w:sz w:val="36"/>
          <w:szCs w:val="36"/>
        </w:rPr>
      </w:pPr>
    </w:p>
    <w:p w:rsidR="00345239" w:rsidRDefault="00345239" w:rsidP="00345239">
      <w:pPr>
        <w:numPr>
          <w:ilvl w:val="0"/>
          <w:numId w:val="1"/>
        </w:num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概况</w:t>
      </w:r>
    </w:p>
    <w:p w:rsidR="00345239" w:rsidRDefault="00345239" w:rsidP="00345239">
      <w:pPr>
        <w:numPr>
          <w:ilvl w:val="0"/>
          <w:numId w:val="2"/>
        </w:numPr>
        <w:rPr>
          <w:rFonts w:hAnsi="宋体" w:hint="eastAsia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工程名称：鄞州人民医院</w:t>
      </w:r>
      <w:r>
        <w:rPr>
          <w:rFonts w:hAnsi="宋体" w:hint="eastAsia"/>
          <w:sz w:val="28"/>
          <w:szCs w:val="28"/>
        </w:rPr>
        <w:t>中央空调冷却塔维修工程项目；</w:t>
      </w:r>
    </w:p>
    <w:p w:rsidR="00345239" w:rsidRDefault="00345239" w:rsidP="00345239">
      <w:pPr>
        <w:numPr>
          <w:ilvl w:val="0"/>
          <w:numId w:val="2"/>
        </w:numPr>
        <w:rPr>
          <w:rFonts w:hAnsi="宋体" w:hint="eastAsia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工程地点：</w:t>
      </w:r>
      <w:r>
        <w:rPr>
          <w:rFonts w:hAnsi="宋体" w:hint="eastAsia"/>
          <w:sz w:val="28"/>
          <w:szCs w:val="28"/>
        </w:rPr>
        <w:t>鄞州人民医院住院六楼屋面；</w:t>
      </w:r>
    </w:p>
    <w:p w:rsidR="00345239" w:rsidRPr="004B41E0" w:rsidRDefault="00345239" w:rsidP="00345239">
      <w:pPr>
        <w:numPr>
          <w:ilvl w:val="0"/>
          <w:numId w:val="2"/>
        </w:numPr>
        <w:rPr>
          <w:rFonts w:hAnsi="宋体" w:hint="eastAsia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工程内容：</w:t>
      </w:r>
      <w:r>
        <w:rPr>
          <w:rFonts w:hAnsi="宋体" w:hint="eastAsia"/>
          <w:sz w:val="28"/>
          <w:szCs w:val="28"/>
          <w:u w:val="single"/>
        </w:rPr>
        <w:t>中央空调冷却塔维修</w:t>
      </w:r>
      <w:r>
        <w:rPr>
          <w:rFonts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hAnsi="宋体" w:hint="eastAsia"/>
          <w:color w:val="000000"/>
          <w:sz w:val="28"/>
          <w:szCs w:val="28"/>
          <w:u w:val="single"/>
        </w:rPr>
        <w:t>；</w:t>
      </w:r>
    </w:p>
    <w:p w:rsidR="00345239" w:rsidRPr="004B41E0" w:rsidRDefault="00345239" w:rsidP="00345239">
      <w:pPr>
        <w:numPr>
          <w:ilvl w:val="0"/>
          <w:numId w:val="2"/>
        </w:numPr>
        <w:rPr>
          <w:rFonts w:hAnsi="宋体" w:hint="eastAsia"/>
          <w:sz w:val="28"/>
          <w:szCs w:val="28"/>
        </w:rPr>
      </w:pPr>
      <w:r w:rsidRPr="004B41E0">
        <w:rPr>
          <w:rFonts w:hAnsi="宋体" w:hint="eastAsia"/>
          <w:color w:val="000000"/>
          <w:sz w:val="28"/>
          <w:szCs w:val="28"/>
        </w:rPr>
        <w:t>施工</w:t>
      </w:r>
      <w:r>
        <w:rPr>
          <w:rFonts w:hAnsi="宋体" w:hint="eastAsia"/>
          <w:color w:val="000000"/>
          <w:sz w:val="28"/>
          <w:szCs w:val="28"/>
        </w:rPr>
        <w:t>时间及</w:t>
      </w:r>
      <w:r w:rsidRPr="004B41E0">
        <w:rPr>
          <w:rFonts w:hAnsi="宋体" w:hint="eastAsia"/>
          <w:color w:val="000000"/>
          <w:sz w:val="28"/>
          <w:szCs w:val="28"/>
        </w:rPr>
        <w:t>周期：</w:t>
      </w:r>
      <w:r>
        <w:rPr>
          <w:rFonts w:hAnsi="宋体" w:hint="eastAsia"/>
          <w:color w:val="000000"/>
          <w:sz w:val="28"/>
          <w:szCs w:val="28"/>
        </w:rPr>
        <w:t>合同生效后</w:t>
      </w:r>
      <w:r>
        <w:rPr>
          <w:rFonts w:hAnsi="宋体" w:hint="eastAsia"/>
          <w:color w:val="000000"/>
          <w:sz w:val="28"/>
          <w:szCs w:val="28"/>
        </w:rPr>
        <w:t>10</w:t>
      </w:r>
      <w:r>
        <w:rPr>
          <w:rFonts w:hAnsi="宋体" w:hint="eastAsia"/>
          <w:color w:val="000000"/>
          <w:sz w:val="28"/>
          <w:szCs w:val="28"/>
        </w:rPr>
        <w:t>天交货，施工周期</w:t>
      </w:r>
      <w:r>
        <w:rPr>
          <w:rFonts w:hAnsi="宋体" w:hint="eastAsia"/>
          <w:color w:val="000000"/>
          <w:sz w:val="28"/>
          <w:szCs w:val="28"/>
        </w:rPr>
        <w:t>20</w:t>
      </w:r>
      <w:r>
        <w:rPr>
          <w:rFonts w:hAnsi="宋体" w:hint="eastAsia"/>
          <w:color w:val="000000"/>
          <w:sz w:val="28"/>
          <w:szCs w:val="28"/>
        </w:rPr>
        <w:t>天。</w:t>
      </w:r>
    </w:p>
    <w:p w:rsidR="00345239" w:rsidRDefault="00345239" w:rsidP="00345239">
      <w:pPr>
        <w:outlineLvl w:val="0"/>
        <w:rPr>
          <w:rFonts w:ascii="楷体_GB2312" w:eastAsia="楷体_GB2312" w:hint="eastAsia"/>
          <w:b/>
          <w:sz w:val="44"/>
          <w:szCs w:val="44"/>
        </w:rPr>
      </w:pPr>
      <w:r>
        <w:rPr>
          <w:rFonts w:ascii="楷体_GB2312" w:eastAsia="楷体_GB2312" w:hint="eastAsia"/>
          <w:b/>
          <w:sz w:val="28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工程项目内容：（清单详见附件一）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1、冷却塔风扇电机（共5台）全部轴承更换，要求采用NSK品牌。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2、冷却塔减速机（共5台）全部皮带更换，要求美国GATS品牌。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3、冷却塔减速机（共5台）全部轴承更换，要求采用NSK品牌。</w:t>
      </w:r>
    </w:p>
    <w:p w:rsidR="00345239" w:rsidRPr="00D8365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4、冷却塔角板全部更换，要求PVC材质（600T：</w:t>
      </w:r>
      <w:r w:rsidRPr="00D83659">
        <w:rPr>
          <w:rFonts w:ascii="宋体" w:hAnsi="宋体" w:hint="eastAsia"/>
          <w:sz w:val="28"/>
          <w:szCs w:val="28"/>
        </w:rPr>
        <w:t>入风口95*95*2.6T*</w:t>
      </w:r>
      <w:smartTag w:uri="urn:schemas-microsoft-com:office:smarttags" w:element="chmetcnv">
        <w:smartTagPr>
          <w:attr w:name="UnitName" w:val="l"/>
          <w:attr w:name="SourceValue" w:val="2005"/>
          <w:attr w:name="HasSpace" w:val="False"/>
          <w:attr w:name="Negative" w:val="False"/>
          <w:attr w:name="NumberType" w:val="1"/>
          <w:attr w:name="TCSC" w:val="0"/>
        </w:smartTagPr>
        <w:r w:rsidRPr="00D83659">
          <w:rPr>
            <w:rFonts w:ascii="宋体" w:hAnsi="宋体" w:hint="eastAsia"/>
            <w:sz w:val="28"/>
            <w:szCs w:val="28"/>
          </w:rPr>
          <w:t>2005L</w:t>
        </w:r>
      </w:smartTag>
      <w:r>
        <w:rPr>
          <w:rFonts w:ascii="宋体" w:hAnsi="宋体" w:hint="eastAsia"/>
          <w:sz w:val="28"/>
          <w:szCs w:val="28"/>
        </w:rPr>
        <w:t>*16</w:t>
      </w:r>
      <w:r w:rsidRPr="00D83659">
        <w:rPr>
          <w:rFonts w:ascii="宋体" w:hAnsi="宋体" w:hint="eastAsia"/>
          <w:sz w:val="28"/>
          <w:szCs w:val="28"/>
        </w:rPr>
        <w:t>片；浪板侧67.5*38.5*3.5T*</w:t>
      </w:r>
      <w:smartTag w:uri="urn:schemas-microsoft-com:office:smarttags" w:element="chmetcnv">
        <w:smartTagPr>
          <w:attr w:name="UnitName" w:val="l"/>
          <w:attr w:name="SourceValue" w:val="2615"/>
          <w:attr w:name="HasSpace" w:val="False"/>
          <w:attr w:name="Negative" w:val="False"/>
          <w:attr w:name="NumberType" w:val="1"/>
          <w:attr w:name="TCSC" w:val="0"/>
        </w:smartTagPr>
        <w:r w:rsidRPr="00D83659">
          <w:rPr>
            <w:rFonts w:ascii="宋体" w:hAnsi="宋体" w:hint="eastAsia"/>
            <w:sz w:val="28"/>
            <w:szCs w:val="28"/>
          </w:rPr>
          <w:t>2615L</w:t>
        </w:r>
      </w:smartTag>
      <w:r>
        <w:rPr>
          <w:rFonts w:ascii="宋体" w:hAnsi="宋体" w:hint="eastAsia"/>
          <w:sz w:val="28"/>
          <w:szCs w:val="28"/>
        </w:rPr>
        <w:t>*8</w:t>
      </w:r>
      <w:r w:rsidRPr="00D83659">
        <w:rPr>
          <w:rFonts w:ascii="宋体" w:hAnsi="宋体" w:hint="eastAsia"/>
          <w:sz w:val="28"/>
          <w:szCs w:val="28"/>
        </w:rPr>
        <w:t>片</w:t>
      </w:r>
      <w:r>
        <w:rPr>
          <w:rFonts w:ascii="宋体" w:hAnsi="宋体" w:hint="eastAsia"/>
          <w:sz w:val="28"/>
          <w:szCs w:val="28"/>
        </w:rPr>
        <w:t>；250T：</w:t>
      </w:r>
      <w:r w:rsidRPr="00D83659">
        <w:rPr>
          <w:rFonts w:ascii="宋体" w:hAnsi="宋体" w:hint="eastAsia"/>
          <w:sz w:val="28"/>
          <w:szCs w:val="28"/>
        </w:rPr>
        <w:t>入风口95*95*2.6T*</w:t>
      </w:r>
      <w:smartTag w:uri="urn:schemas-microsoft-com:office:smarttags" w:element="chmetcnv">
        <w:smartTagPr>
          <w:attr w:name="UnitName" w:val="l"/>
          <w:attr w:name="SourceValue" w:val="2005"/>
          <w:attr w:name="HasSpace" w:val="False"/>
          <w:attr w:name="Negative" w:val="False"/>
          <w:attr w:name="NumberType" w:val="1"/>
          <w:attr w:name="TCSC" w:val="0"/>
        </w:smartTagPr>
        <w:r w:rsidRPr="00D83659">
          <w:rPr>
            <w:rFonts w:ascii="宋体" w:hAnsi="宋体" w:hint="eastAsia"/>
            <w:sz w:val="28"/>
            <w:szCs w:val="28"/>
          </w:rPr>
          <w:t>2005L</w:t>
        </w:r>
      </w:smartTag>
      <w:r w:rsidRPr="00D83659">
        <w:rPr>
          <w:rFonts w:ascii="宋体" w:hAnsi="宋体" w:hint="eastAsia"/>
          <w:sz w:val="28"/>
          <w:szCs w:val="28"/>
        </w:rPr>
        <w:t>*4片；         浪板侧67.5*38.5*3.5T*</w:t>
      </w:r>
      <w:smartTag w:uri="urn:schemas-microsoft-com:office:smarttags" w:element="chmetcnv">
        <w:smartTagPr>
          <w:attr w:name="UnitName" w:val="l"/>
          <w:attr w:name="SourceValue" w:val="2315"/>
          <w:attr w:name="HasSpace" w:val="False"/>
          <w:attr w:name="Negative" w:val="False"/>
          <w:attr w:name="NumberType" w:val="1"/>
          <w:attr w:name="TCSC" w:val="0"/>
        </w:smartTagPr>
        <w:r w:rsidRPr="00D83659">
          <w:rPr>
            <w:rFonts w:ascii="宋体" w:hAnsi="宋体" w:hint="eastAsia"/>
            <w:sz w:val="28"/>
            <w:szCs w:val="28"/>
          </w:rPr>
          <w:t>2315L</w:t>
        </w:r>
      </w:smartTag>
      <w:r w:rsidRPr="00D83659">
        <w:rPr>
          <w:rFonts w:ascii="宋体" w:hAnsi="宋体" w:hint="eastAsia"/>
          <w:sz w:val="28"/>
          <w:szCs w:val="28"/>
        </w:rPr>
        <w:t>*4片</w:t>
      </w:r>
      <w:r>
        <w:rPr>
          <w:rFonts w:ascii="宋体" w:hAnsi="宋体" w:hint="eastAsia"/>
          <w:sz w:val="28"/>
          <w:szCs w:val="28"/>
        </w:rPr>
        <w:t>）。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5、冷却塔入风百叶更换50条，要求PVC材质。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6、冷却塔水槽出水口过滤筒10套，要求SUS304材质。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7、冷却塔检修门1套及门把手2套。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8、冷却塔散热材紧杆12根，要求SUS304或热浸镀锌铁件材质。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</w:t>
      </w:r>
      <w:r>
        <w:rPr>
          <w:rFonts w:hint="eastAsia"/>
          <w:sz w:val="28"/>
          <w:szCs w:val="28"/>
        </w:rPr>
        <w:t>冷却塔底部一层散热材由于底部支架变形，导致散热材对方也变形，需重新整理堆放情形，尤其是底层散热材，须重新拆装，以保证冷却塔散热性能不受影响。</w:t>
      </w: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10、冷却塔冷却水盘水槽部分胶封起层，需重新积层固定，需专用树脂</w:t>
      </w:r>
      <w:smartTag w:uri="urn:schemas-microsoft-com:office:smarttags" w:element="chmetcnv">
        <w:smartTagPr>
          <w:attr w:name="UnitName" w:val="kg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8"/>
            <w:szCs w:val="28"/>
          </w:rPr>
          <w:t>10KG</w:t>
        </w:r>
      </w:smartTag>
      <w:r>
        <w:rPr>
          <w:rFonts w:ascii="宋体" w:hAnsi="宋体" w:hint="eastAsia"/>
          <w:sz w:val="28"/>
          <w:szCs w:val="28"/>
        </w:rPr>
        <w:t>、玻璃纤维</w:t>
      </w:r>
      <w:smartTag w:uri="urn:schemas-microsoft-com:office:smarttags" w:element="chmetcnv">
        <w:smartTagPr>
          <w:attr w:name="UnitName" w:val="kg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8"/>
            <w:szCs w:val="28"/>
          </w:rPr>
          <w:t>5KG</w:t>
        </w:r>
      </w:smartTag>
      <w:r>
        <w:rPr>
          <w:rFonts w:ascii="宋体" w:hAnsi="宋体" w:hint="eastAsia"/>
          <w:sz w:val="28"/>
          <w:szCs w:val="28"/>
        </w:rPr>
        <w:t>。</w:t>
      </w:r>
    </w:p>
    <w:p w:rsidR="00345239" w:rsidRDefault="00345239" w:rsidP="00345239">
      <w:pPr>
        <w:outlineLvl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三、工程项目要求：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1、冷却塔进行维修，不损伤其他部分。</w:t>
      </w:r>
    </w:p>
    <w:p w:rsidR="00345239" w:rsidRDefault="00345239" w:rsidP="00345239">
      <w:pPr>
        <w:ind w:leftChars="134" w:left="70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2、冷却塔维修时尽量避免使用电焊或氧焊设备，确实需要使用氧焊时需报备。</w:t>
      </w:r>
    </w:p>
    <w:p w:rsidR="00345239" w:rsidRDefault="00345239" w:rsidP="00345239">
      <w:pPr>
        <w:ind w:leftChars="134" w:left="70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3、维修后冷却塔运行平稳，无异响。</w:t>
      </w:r>
    </w:p>
    <w:p w:rsidR="00345239" w:rsidRDefault="00345239" w:rsidP="00345239">
      <w:pPr>
        <w:ind w:leftChars="134" w:left="70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4、维修后冷却塔出水温度控制在35℃以内。</w:t>
      </w:r>
    </w:p>
    <w:p w:rsidR="00345239" w:rsidRDefault="00345239" w:rsidP="00345239">
      <w:pPr>
        <w:outlineLvl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四、投标要求：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1、加封的投标文件。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2、企业营业执照（复印件加盖公章）。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3、本项目最高限价人民币4.8万元，超过最高限价的自动视为废标。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4、投标单位须到现场实地察看。</w:t>
      </w:r>
    </w:p>
    <w:p w:rsidR="00345239" w:rsidRDefault="00345239" w:rsidP="00345239">
      <w:pPr>
        <w:outlineLvl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五、说明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1、投标单位如对招标文件的条款有疑问，可咨询招标单位。</w:t>
      </w:r>
    </w:p>
    <w:p w:rsidR="00345239" w:rsidRPr="004B41E0" w:rsidRDefault="00345239" w:rsidP="00345239">
      <w:pPr>
        <w:ind w:firstLineChars="100" w:firstLine="28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招标单位联系人：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345239" w:rsidRDefault="00345239" w:rsidP="00345239">
      <w:pPr>
        <w:outlineLvl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六、报价</w:t>
      </w:r>
    </w:p>
    <w:p w:rsidR="00345239" w:rsidRDefault="00345239" w:rsidP="00345239">
      <w:pPr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1、投标单位根据附件一填报单项目的单价及总价。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、投标单位报价应包括主辅材料、运输费、搬运费、人工工资、垃圾清运费、税金等所需费用。</w:t>
      </w:r>
    </w:p>
    <w:p w:rsidR="00345239" w:rsidRDefault="00345239" w:rsidP="00345239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3、不论投标结果如何，供应商均应自行承担所有与投标有关的全部费用。</w:t>
      </w:r>
    </w:p>
    <w:p w:rsidR="00345239" w:rsidRDefault="00345239" w:rsidP="00345239">
      <w:pPr>
        <w:outlineLvl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七、有下列情况之一者为无效投标书</w:t>
      </w:r>
    </w:p>
    <w:p w:rsidR="00345239" w:rsidRDefault="00345239" w:rsidP="00345239">
      <w:pPr>
        <w:pStyle w:val="a5"/>
        <w:spacing w:line="480" w:lineRule="exact"/>
        <w:ind w:firstLineChars="150" w:firstLine="42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1、未密封。</w:t>
      </w:r>
    </w:p>
    <w:p w:rsidR="00345239" w:rsidRDefault="00345239" w:rsidP="00345239">
      <w:pPr>
        <w:pStyle w:val="a5"/>
        <w:spacing w:line="480" w:lineRule="exact"/>
        <w:ind w:firstLineChars="150" w:firstLine="42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2、字迹模糊不清。</w:t>
      </w:r>
    </w:p>
    <w:p w:rsidR="00345239" w:rsidRDefault="00345239" w:rsidP="00345239">
      <w:pPr>
        <w:pStyle w:val="a5"/>
        <w:spacing w:line="480" w:lineRule="exact"/>
        <w:ind w:firstLineChars="150" w:firstLine="42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3、未加盖单位和法定代表人的印章。</w:t>
      </w:r>
    </w:p>
    <w:p w:rsidR="00345239" w:rsidRDefault="00345239" w:rsidP="00345239">
      <w:pPr>
        <w:pStyle w:val="a5"/>
        <w:spacing w:line="480" w:lineRule="exact"/>
        <w:ind w:firstLineChars="150" w:firstLine="42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4、投标书逾期送达。</w:t>
      </w:r>
    </w:p>
    <w:p w:rsidR="00345239" w:rsidRDefault="00345239" w:rsidP="00345239">
      <w:pPr>
        <w:pStyle w:val="a5"/>
        <w:spacing w:line="480" w:lineRule="exact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八、评标办法：综合打分模式，其中技术资信分占40%，价格分占60%。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126"/>
        <w:gridCol w:w="2126"/>
        <w:gridCol w:w="2111"/>
      </w:tblGrid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jc w:val="center"/>
              <w:rPr>
                <w:rFonts w:hAnsi="宋体" w:hint="eastAsia"/>
                <w:sz w:val="28"/>
                <w:szCs w:val="28"/>
              </w:rPr>
            </w:pPr>
            <w:r w:rsidRPr="00CA4EE7">
              <w:rPr>
                <w:rFonts w:hAnsi="宋体" w:hint="eastAsia"/>
                <w:sz w:val="28"/>
                <w:szCs w:val="28"/>
              </w:rPr>
              <w:t>评分项目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  <w:r w:rsidRPr="00CA4EE7">
              <w:rPr>
                <w:rFonts w:hAnsi="宋体" w:hint="eastAsia"/>
                <w:szCs w:val="21"/>
              </w:rPr>
              <w:t>1.企业资质、技术及案例（0~10分）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  <w:r w:rsidRPr="00CA4EE7">
              <w:rPr>
                <w:rFonts w:hAnsi="宋体" w:hint="eastAsia"/>
                <w:szCs w:val="21"/>
              </w:rPr>
              <w:t>2.冷却塔维修成功案例(0~10分)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  <w:r w:rsidRPr="00CA4EE7">
              <w:rPr>
                <w:rFonts w:hAnsi="宋体" w:hint="eastAsia"/>
                <w:szCs w:val="21"/>
              </w:rPr>
              <w:t>3.售后服务承诺(0~10分)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  <w:r w:rsidRPr="00CA4EE7">
              <w:rPr>
                <w:rFonts w:hAnsi="宋体" w:hint="eastAsia"/>
                <w:szCs w:val="21"/>
              </w:rPr>
              <w:t>4. 技术力量和人员配置实力(0~10分)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  <w:r w:rsidRPr="00CA4EE7">
              <w:rPr>
                <w:rFonts w:hAnsi="宋体" w:hint="eastAsia"/>
                <w:szCs w:val="21"/>
              </w:rPr>
              <w:t>报价(总价)(0~60分)</w:t>
            </w: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  <w:tr w:rsidR="00345239" w:rsidRPr="00CA4EE7" w:rsidTr="00DF097F">
        <w:tc>
          <w:tcPr>
            <w:tcW w:w="393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Cs w:val="21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111" w:type="dxa"/>
          </w:tcPr>
          <w:p w:rsidR="00345239" w:rsidRPr="00CA4EE7" w:rsidRDefault="00345239" w:rsidP="00DF097F">
            <w:pPr>
              <w:pStyle w:val="a5"/>
              <w:spacing w:line="480" w:lineRule="exact"/>
              <w:rPr>
                <w:rFonts w:hAnsi="宋体" w:hint="eastAsia"/>
                <w:sz w:val="28"/>
                <w:szCs w:val="28"/>
              </w:rPr>
            </w:pPr>
          </w:p>
        </w:tc>
      </w:tr>
    </w:tbl>
    <w:p w:rsidR="00345239" w:rsidRDefault="00345239" w:rsidP="0034523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九、标截止日期：      年    月    日</w:t>
      </w: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十、投标地点：      </w:t>
      </w: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</w:p>
    <w:p w:rsidR="00345239" w:rsidRDefault="00345239" w:rsidP="00345239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tbl>
      <w:tblPr>
        <w:tblW w:w="10620" w:type="dxa"/>
        <w:tblInd w:w="93" w:type="dxa"/>
        <w:tblLook w:val="04A0"/>
      </w:tblPr>
      <w:tblGrid>
        <w:gridCol w:w="660"/>
        <w:gridCol w:w="3640"/>
        <w:gridCol w:w="960"/>
        <w:gridCol w:w="880"/>
        <w:gridCol w:w="1300"/>
        <w:gridCol w:w="1460"/>
        <w:gridCol w:w="1720"/>
      </w:tblGrid>
      <w:tr w:rsidR="00345239" w:rsidRPr="006A07C2" w:rsidTr="00DF097F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项次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项</w:t>
            </w:r>
            <w:r w:rsidRPr="006A07C2">
              <w:rPr>
                <w:rFonts w:ascii="Arial" w:eastAsia="新宋体" w:hAnsi="Arial" w:cs="Arial"/>
                <w:kern w:val="0"/>
                <w:sz w:val="22"/>
                <w:szCs w:val="22"/>
              </w:rPr>
              <w:t xml:space="preserve">              </w:t>
            </w: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总价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45239" w:rsidRPr="006A07C2" w:rsidTr="00DF097F">
        <w:trPr>
          <w:trHeight w:val="5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冷却塔600T*2台、250T*1台维修明细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5台马达轴承更换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1.1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马达轴承6208ZZ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1.2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马达轴承6310ZZ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5套减速机皮带、轴承更换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6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皮带3-11M-1400*1、2-11M-1400*1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品牌：GATS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轴承D：6213ZZ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轴封D：75*100*13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品牌：TTO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轴承E：6213ZZ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轴封E：65*88*12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品牌：TTO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轴承G：51113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轴承B：6208ZZ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轴承C：6310ZZ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品牌：NSK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2.9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轴封C：50*75*6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品牌：TTO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其他项目维修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600T角板:                    入风口95*95*2.6T*2005L*8片；         浪板侧67.5*38.5*3.5T*2615L*4片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台份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12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250T角板:                    入风口95*95*2.6T*2005L*4片；         浪板侧67.5*38.5*3.5T*2315L*4片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台份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入风百叶1980L*1.2T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100片/CELL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出水口过滤网（SUS304材质）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>含门把手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3.6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门把手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散热材侧紧杆3050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49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3.8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浪板侧紧杆3000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6A07C2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239" w:rsidRPr="006A07C2" w:rsidRDefault="00345239" w:rsidP="00DF097F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人工费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2"/>
                <w:szCs w:val="22"/>
              </w:rPr>
            </w:pPr>
            <w:r w:rsidRPr="006A07C2">
              <w:rPr>
                <w:rFonts w:ascii="新宋体" w:eastAsia="新宋体" w:hAnsi="新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A07C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5239" w:rsidRPr="006A07C2" w:rsidTr="00DF097F">
        <w:trPr>
          <w:trHeight w:val="525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239" w:rsidRPr="006A07C2" w:rsidRDefault="00345239" w:rsidP="00DF097F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345239" w:rsidRDefault="00345239" w:rsidP="00345239">
      <w:pPr>
        <w:rPr>
          <w:rFonts w:hint="eastAsia"/>
          <w:sz w:val="28"/>
          <w:szCs w:val="28"/>
        </w:rPr>
      </w:pPr>
    </w:p>
    <w:p w:rsidR="00CB0388" w:rsidRDefault="00CB0388"/>
    <w:sectPr w:rsidR="00CB0388">
      <w:pgSz w:w="11906" w:h="16838"/>
      <w:pgMar w:top="576" w:right="746" w:bottom="288" w:left="1077" w:header="851" w:footer="992" w:gutter="0"/>
      <w:cols w:space="720"/>
      <w:docGrid w:type="lines"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88" w:rsidRDefault="00CB0388" w:rsidP="00345239">
      <w:r>
        <w:separator/>
      </w:r>
    </w:p>
  </w:endnote>
  <w:endnote w:type="continuationSeparator" w:id="1">
    <w:p w:rsidR="00CB0388" w:rsidRDefault="00CB0388" w:rsidP="0034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88" w:rsidRDefault="00CB0388" w:rsidP="00345239">
      <w:r>
        <w:separator/>
      </w:r>
    </w:p>
  </w:footnote>
  <w:footnote w:type="continuationSeparator" w:id="1">
    <w:p w:rsidR="00CB0388" w:rsidRDefault="00CB0388" w:rsidP="0034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3BA"/>
    <w:multiLevelType w:val="multilevel"/>
    <w:tmpl w:val="B42ED568"/>
    <w:lvl w:ilvl="0">
      <w:start w:val="1"/>
      <w:numFmt w:val="decimal"/>
      <w:lvlText w:val="%1、"/>
      <w:lvlJc w:val="left"/>
      <w:pPr>
        <w:tabs>
          <w:tab w:val="num" w:pos="1020"/>
        </w:tabs>
        <w:ind w:left="1020" w:hanging="720"/>
      </w:pPr>
      <w:rPr>
        <w:rFonts w:ascii="Times New Roman" w:eastAsia="Times New Roman" w:hAnsi="Times New Roman" w:cs="Times New Roman"/>
        <w:sz w:val="3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">
    <w:nsid w:val="67F57628"/>
    <w:multiLevelType w:val="multilevel"/>
    <w:tmpl w:val="67F5762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239"/>
    <w:rsid w:val="00267161"/>
    <w:rsid w:val="00345239"/>
    <w:rsid w:val="00CB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39"/>
    <w:rPr>
      <w:sz w:val="18"/>
      <w:szCs w:val="18"/>
    </w:rPr>
  </w:style>
  <w:style w:type="paragraph" w:styleId="a5">
    <w:name w:val="Plain Text"/>
    <w:basedOn w:val="a"/>
    <w:link w:val="Char1"/>
    <w:rsid w:val="00345239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4523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316</Words>
  <Characters>1806</Characters>
  <Application>Microsoft Office Word</Application>
  <DocSecurity>0</DocSecurity>
  <Lines>15</Lines>
  <Paragraphs>4</Paragraphs>
  <ScaleCrop>false</ScaleCrop>
  <Company>hp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2017-10-31T09:59:00Z</dcterms:created>
  <dcterms:modified xsi:type="dcterms:W3CDTF">2017-10-31T10:12:00Z</dcterms:modified>
</cp:coreProperties>
</file>