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653BE4">
        <w:rPr>
          <w:rFonts w:hint="eastAsia"/>
          <w:b/>
          <w:sz w:val="30"/>
          <w:szCs w:val="30"/>
        </w:rPr>
        <w:t>采购</w:t>
      </w:r>
      <w:r w:rsidR="00C26CE4" w:rsidRPr="00C26CE4">
        <w:rPr>
          <w:rFonts w:hint="eastAsia"/>
          <w:b/>
          <w:sz w:val="30"/>
          <w:szCs w:val="30"/>
        </w:rPr>
        <w:t>肺癌空间分割放射治疗病例数据采集流程自动化机器人</w:t>
      </w:r>
      <w:r w:rsidR="00C26CE4" w:rsidRPr="00C26CE4">
        <w:rPr>
          <w:rFonts w:hint="eastAsia"/>
          <w:b/>
          <w:sz w:val="30"/>
          <w:szCs w:val="30"/>
        </w:rPr>
        <w:t>RPA</w:t>
      </w:r>
      <w:r w:rsidR="00C26CE4" w:rsidRPr="00C26CE4">
        <w:rPr>
          <w:rFonts w:hint="eastAsia"/>
          <w:b/>
          <w:sz w:val="30"/>
          <w:szCs w:val="30"/>
        </w:rPr>
        <w:t>及治疗计划测试</w:t>
      </w:r>
      <w:r w:rsidR="00653BE4" w:rsidRPr="00653BE4">
        <w:rPr>
          <w:rFonts w:hint="eastAsia"/>
          <w:b/>
          <w:sz w:val="30"/>
          <w:szCs w:val="30"/>
        </w:rPr>
        <w:t>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E73B19" w:rsidRDefault="00B96850" w:rsidP="00B9685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39494A" w:rsidRPr="00E73B19">
        <w:rPr>
          <w:rFonts w:ascii="宋体" w:hAnsi="宋体" w:hint="eastAsia"/>
          <w:b/>
          <w:color w:val="000000"/>
          <w:sz w:val="28"/>
          <w:szCs w:val="28"/>
        </w:rPr>
        <w:t>议标品目</w:t>
      </w:r>
    </w:p>
    <w:tbl>
      <w:tblPr>
        <w:tblStyle w:val="a7"/>
        <w:tblW w:w="9167" w:type="dxa"/>
        <w:tblInd w:w="-318" w:type="dxa"/>
        <w:tblLook w:val="04A0"/>
      </w:tblPr>
      <w:tblGrid>
        <w:gridCol w:w="959"/>
        <w:gridCol w:w="4919"/>
        <w:gridCol w:w="1290"/>
        <w:gridCol w:w="1999"/>
      </w:tblGrid>
      <w:tr w:rsidR="00657822" w:rsidRPr="00E1652A" w:rsidTr="00657822">
        <w:trPr>
          <w:trHeight w:val="576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1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9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57822" w:rsidRPr="00E1652A" w:rsidTr="00657822">
        <w:trPr>
          <w:trHeight w:val="752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657822" w:rsidRPr="00E1652A" w:rsidRDefault="00C26CE4" w:rsidP="00C66B60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C26CE4">
              <w:rPr>
                <w:rFonts w:ascii="宋体" w:hAnsi="宋体" w:hint="eastAsia"/>
                <w:color w:val="000000"/>
                <w:sz w:val="24"/>
                <w:szCs w:val="24"/>
              </w:rPr>
              <w:t>肺癌空间分割放射治疗病例数据采集流程自动化机器人RPA及治疗计划测试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99" w:type="dxa"/>
          </w:tcPr>
          <w:p w:rsidR="00657822" w:rsidRPr="00E1652A" w:rsidRDefault="00653BE4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="00C26CE4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="00657822"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二、项目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要求</w:t>
      </w:r>
    </w:p>
    <w:p w:rsidR="00653BE4" w:rsidRPr="00C26CE4" w:rsidRDefault="00C26CE4" w:rsidP="00653BE4">
      <w:pPr>
        <w:spacing w:line="580" w:lineRule="exact"/>
        <w:ind w:firstLine="420"/>
        <w:outlineLvl w:val="1"/>
        <w:rPr>
          <w:rFonts w:ascii="宋体" w:hAnsi="宋体"/>
          <w:color w:val="000000"/>
          <w:sz w:val="28"/>
          <w:szCs w:val="28"/>
        </w:rPr>
      </w:pPr>
      <w:r w:rsidRPr="00C26CE4">
        <w:rPr>
          <w:rFonts w:ascii="宋体" w:hAnsi="宋体" w:hint="eastAsia"/>
          <w:color w:val="000000"/>
          <w:sz w:val="28"/>
          <w:szCs w:val="28"/>
        </w:rPr>
        <w:t>设计并部署流程自动化机器人（RPA），用于采集病例数据；测试相关治疗计划。</w:t>
      </w:r>
    </w:p>
    <w:p w:rsidR="00E73B19" w:rsidRPr="00E73B19" w:rsidRDefault="00E73B19" w:rsidP="00C26CE4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项目功能需求：详见附件</w:t>
      </w:r>
    </w:p>
    <w:p w:rsidR="00E73B19" w:rsidRPr="00E73B19" w:rsidRDefault="00657822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EC2241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标书要求</w:t>
      </w:r>
    </w:p>
    <w:p w:rsidR="00E51DE1" w:rsidRPr="00E51DE1" w:rsidRDefault="00E51DE1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</w:t>
      </w:r>
      <w:r w:rsidR="00653BE4">
        <w:rPr>
          <w:rFonts w:ascii="宋体" w:hAnsi="宋体" w:cs="宋体" w:hint="eastAsia"/>
          <w:kern w:val="0"/>
          <w:sz w:val="28"/>
          <w:szCs w:val="28"/>
        </w:rPr>
        <w:t>胶装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成册，不接收活页形式或通过夹子成型的标书。</w:t>
      </w:r>
    </w:p>
    <w:p w:rsidR="00924C18" w:rsidRPr="00E73B19" w:rsidRDefault="0065782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924C18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商务条款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服务时间：</w:t>
      </w:r>
      <w:r w:rsidR="00657822">
        <w:rPr>
          <w:rFonts w:ascii="宋体" w:hAnsi="宋体" w:hint="eastAsia"/>
          <w:color w:val="000000"/>
          <w:sz w:val="28"/>
          <w:szCs w:val="28"/>
        </w:rPr>
        <w:t>工期要求</w:t>
      </w:r>
      <w:r w:rsidR="00653BE4">
        <w:rPr>
          <w:rFonts w:ascii="宋体" w:hAnsi="宋体" w:hint="eastAsia"/>
          <w:color w:val="000000"/>
          <w:sz w:val="28"/>
          <w:szCs w:val="28"/>
        </w:rPr>
        <w:t>2</w:t>
      </w:r>
      <w:r w:rsidR="00657822">
        <w:rPr>
          <w:rFonts w:ascii="宋体" w:hAnsi="宋体" w:hint="eastAsia"/>
          <w:color w:val="000000"/>
          <w:sz w:val="28"/>
          <w:szCs w:val="28"/>
        </w:rPr>
        <w:t>个月内</w:t>
      </w:r>
      <w:r w:rsidRPr="00DB79D2">
        <w:rPr>
          <w:rFonts w:ascii="宋体" w:hAnsi="宋体" w:hint="eastAsia"/>
          <w:color w:val="000000"/>
          <w:sz w:val="28"/>
          <w:szCs w:val="28"/>
        </w:rPr>
        <w:t>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付款方式：</w:t>
      </w:r>
      <w:r w:rsidR="00657822">
        <w:rPr>
          <w:rFonts w:ascii="宋体" w:hAnsi="宋体" w:hint="eastAsia"/>
          <w:color w:val="000000"/>
          <w:sz w:val="28"/>
          <w:szCs w:val="28"/>
        </w:rPr>
        <w:t>验收合格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并收到发票后</w:t>
      </w:r>
      <w:r w:rsidR="00653BE4">
        <w:rPr>
          <w:rFonts w:ascii="宋体" w:hAnsi="宋体" w:hint="eastAsia"/>
          <w:color w:val="000000"/>
          <w:sz w:val="28"/>
          <w:szCs w:val="28"/>
        </w:rPr>
        <w:t>6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0天内支付合同金额。</w:t>
      </w:r>
    </w:p>
    <w:p w:rsidR="000D2D85" w:rsidRPr="002017A9" w:rsidRDefault="00E73B19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lastRenderedPageBreak/>
        <w:t>七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八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、报名事项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C26CE4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C26CE4">
        <w:rPr>
          <w:rFonts w:ascii="宋体" w:hAnsi="宋体" w:cs="宋体" w:hint="eastAsia"/>
          <w:kern w:val="0"/>
          <w:sz w:val="28"/>
          <w:szCs w:val="28"/>
        </w:rPr>
        <w:t>1</w:t>
      </w:r>
      <w:r w:rsidR="00C66B60">
        <w:rPr>
          <w:rFonts w:ascii="宋体" w:hAnsi="宋体" w:cs="宋体" w:hint="eastAsia"/>
          <w:kern w:val="0"/>
          <w:sz w:val="28"/>
          <w:szCs w:val="28"/>
        </w:rPr>
        <w:t>4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C26CE4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C26CE4">
        <w:rPr>
          <w:rFonts w:ascii="宋体" w:hAnsi="宋体" w:cs="宋体" w:hint="eastAsia"/>
          <w:kern w:val="0"/>
          <w:sz w:val="28"/>
          <w:szCs w:val="28"/>
        </w:rPr>
        <w:t>1</w:t>
      </w:r>
      <w:r w:rsidR="00C66B60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C26CE4">
        <w:rPr>
          <w:rFonts w:ascii="宋体" w:hAnsi="宋体" w:cs="宋体" w:hint="eastAsia"/>
          <w:kern w:val="0"/>
          <w:sz w:val="28"/>
          <w:szCs w:val="28"/>
        </w:rPr>
        <w:t>14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53BE4">
        <w:rPr>
          <w:rFonts w:ascii="宋体" w:hAnsi="宋体" w:hint="eastAsia"/>
          <w:color w:val="000000"/>
          <w:sz w:val="28"/>
          <w:szCs w:val="28"/>
        </w:rPr>
        <w:t>6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C26CE4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C26CE4">
        <w:rPr>
          <w:rFonts w:ascii="宋体" w:hAnsi="宋体" w:hint="eastAsia"/>
          <w:color w:val="000000"/>
          <w:sz w:val="28"/>
          <w:szCs w:val="28"/>
        </w:rPr>
        <w:t>8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657822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  <w:r w:rsidR="00653BE4">
              <w:rPr>
                <w:rFonts w:ascii="宋体" w:hAnsi="宋体" w:hint="eastAsia"/>
                <w:color w:val="000000" w:themeColor="text1"/>
              </w:rPr>
              <w:t>3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657822">
              <w:rPr>
                <w:rFonts w:ascii="宋体" w:hAnsi="宋体" w:hint="eastAsia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A564E1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234B5"/>
    <w:rsid w:val="00636D17"/>
    <w:rsid w:val="006515C0"/>
    <w:rsid w:val="00653BE4"/>
    <w:rsid w:val="006560EC"/>
    <w:rsid w:val="00657822"/>
    <w:rsid w:val="00673BB9"/>
    <w:rsid w:val="006819CB"/>
    <w:rsid w:val="00686C6F"/>
    <w:rsid w:val="006A0EFA"/>
    <w:rsid w:val="006C34C5"/>
    <w:rsid w:val="006F294B"/>
    <w:rsid w:val="00716063"/>
    <w:rsid w:val="00734CEF"/>
    <w:rsid w:val="00745D19"/>
    <w:rsid w:val="007770F2"/>
    <w:rsid w:val="007C3880"/>
    <w:rsid w:val="007E139B"/>
    <w:rsid w:val="00806BDB"/>
    <w:rsid w:val="00811305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4054C"/>
    <w:rsid w:val="00A564E1"/>
    <w:rsid w:val="00AC50BA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C01899"/>
    <w:rsid w:val="00C06257"/>
    <w:rsid w:val="00C23B31"/>
    <w:rsid w:val="00C26CE4"/>
    <w:rsid w:val="00C31CFA"/>
    <w:rsid w:val="00C52607"/>
    <w:rsid w:val="00C643D6"/>
    <w:rsid w:val="00C66B60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73B19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Administrator</cp:lastModifiedBy>
  <cp:revision>3</cp:revision>
  <dcterms:created xsi:type="dcterms:W3CDTF">2026-05-08T00:42:00Z</dcterms:created>
  <dcterms:modified xsi:type="dcterms:W3CDTF">2026-05-08T02:04:00Z</dcterms:modified>
</cp:coreProperties>
</file>