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proofErr w:type="gramStart"/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采购双源安检</w:t>
      </w:r>
      <w:proofErr w:type="gramEnd"/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机等安检设备项目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</w:p>
    <w:p w:rsidR="00BA69E1" w:rsidRPr="0000107E" w:rsidRDefault="00D91695" w:rsidP="00D91695">
      <w:pPr>
        <w:spacing w:line="400" w:lineRule="exact"/>
        <w:ind w:firstLine="420"/>
        <w:rPr>
          <w:rFonts w:ascii="Calibri" w:hAnsi="宋体" w:cs="Calibri"/>
          <w:sz w:val="24"/>
          <w:szCs w:val="24"/>
        </w:rPr>
      </w:pPr>
      <w:r w:rsidRPr="00D91695">
        <w:rPr>
          <w:rFonts w:ascii="Calibri" w:hAnsi="宋体" w:cs="Calibri" w:hint="eastAsia"/>
          <w:sz w:val="24"/>
          <w:szCs w:val="24"/>
        </w:rPr>
        <w:t>为了保障</w:t>
      </w:r>
      <w:proofErr w:type="gramStart"/>
      <w:r w:rsidRPr="00D91695">
        <w:rPr>
          <w:rFonts w:ascii="Calibri" w:hAnsi="宋体" w:cs="Calibri" w:hint="eastAsia"/>
          <w:sz w:val="24"/>
          <w:szCs w:val="24"/>
        </w:rPr>
        <w:t>医</w:t>
      </w:r>
      <w:proofErr w:type="gramEnd"/>
      <w:r w:rsidRPr="00D91695">
        <w:rPr>
          <w:rFonts w:ascii="Calibri" w:hAnsi="宋体" w:cs="Calibri" w:hint="eastAsia"/>
          <w:sz w:val="24"/>
          <w:szCs w:val="24"/>
        </w:rPr>
        <w:t>患安全、维护正常诊疗秩序，本部院区西区门诊大厅</w:t>
      </w:r>
      <w:r>
        <w:rPr>
          <w:rFonts w:ascii="Calibri" w:hAnsi="宋体" w:cs="Calibri" w:hint="eastAsia"/>
          <w:sz w:val="24"/>
          <w:szCs w:val="24"/>
        </w:rPr>
        <w:t>配置</w:t>
      </w:r>
      <w:r w:rsidRPr="00D91695">
        <w:rPr>
          <w:rFonts w:ascii="Calibri" w:hAnsi="宋体" w:cs="Calibri" w:hint="eastAsia"/>
          <w:sz w:val="24"/>
          <w:szCs w:val="24"/>
        </w:rPr>
        <w:t>安检设备</w:t>
      </w:r>
      <w:r>
        <w:rPr>
          <w:rFonts w:ascii="Calibri" w:hAnsi="宋体" w:cs="Calibri" w:hint="eastAsia"/>
          <w:sz w:val="24"/>
          <w:szCs w:val="24"/>
        </w:rPr>
        <w:t>一套</w:t>
      </w:r>
      <w:r w:rsidRPr="00D91695">
        <w:rPr>
          <w:rFonts w:ascii="Calibri" w:hAnsi="宋体" w:cs="Calibri" w:hint="eastAsia"/>
          <w:sz w:val="24"/>
          <w:szCs w:val="24"/>
        </w:rPr>
        <w:t>。</w:t>
      </w:r>
    </w:p>
    <w:p w:rsidR="00BA69E1" w:rsidRPr="00665C1A" w:rsidRDefault="00F03B03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一、议标品目：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1"/>
        <w:gridCol w:w="1654"/>
        <w:gridCol w:w="4399"/>
        <w:gridCol w:w="1701"/>
      </w:tblGrid>
      <w:tr w:rsidR="0079032C" w:rsidTr="0079032C">
        <w:trPr>
          <w:trHeight w:val="31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项目采购需求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采购预算</w:t>
            </w:r>
          </w:p>
        </w:tc>
      </w:tr>
      <w:tr w:rsidR="0079032C" w:rsidTr="0079032C">
        <w:trPr>
          <w:trHeight w:val="49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 w:rsidP="00DF55B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安检设备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DF55BE" w:rsidP="00111B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视角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安检机 1 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proofErr w:type="gramStart"/>
            <w:r w:rsidRPr="00DF55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智能双屏</w:t>
            </w:r>
            <w:proofErr w:type="gramEnd"/>
            <w:r w:rsidRPr="00DF55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分类安检门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 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智能安检管理系统 1 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</w:p>
          <w:p w:rsidR="00DF55BE" w:rsidRDefault="0079032C" w:rsidP="00DF55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便携式液体检测器 1 台</w:t>
            </w:r>
            <w:r w:rsidR="00DF55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F55BE" w:rsidRDefault="00DF55BE" w:rsidP="00DF55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具体要求详见附件。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79032C" w:rsidP="00111B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20.5万元</w:t>
            </w:r>
          </w:p>
        </w:tc>
      </w:tr>
    </w:tbl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141F8" w:rsidRPr="002310B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141F8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BA69E1" w:rsidRPr="00665C1A" w:rsidRDefault="008141F8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投标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1.2生产企业生产许可证、经营企业经营许可证；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1.4相关品牌产品代理授权书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（复印件）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1.5投标代表的法人授权书及身份证复印件，并带身份证原件；</w:t>
      </w:r>
    </w:p>
    <w:p w:rsidR="00520D06" w:rsidRPr="008141F8" w:rsidRDefault="00F03B03" w:rsidP="00DF55BE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1.6提供参加投标各品牌产品的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彩页等资料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1.7产品质量保证书、廉洁承诺书；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1.8</w:t>
      </w:r>
      <w:r w:rsidR="003F18FC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1.9投标产品业绩（提供合同复印件）；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1.10服务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实施</w:t>
      </w:r>
      <w:r>
        <w:rPr>
          <w:rFonts w:ascii="宋体" w:eastAsia="宋体" w:hAnsi="宋体" w:cs="宋体" w:hint="eastAsia"/>
          <w:kern w:val="0"/>
          <w:sz w:val="24"/>
          <w:szCs w:val="24"/>
        </w:rPr>
        <w:t>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，包括但不限于：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供货方案和退换货服务方案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665C1A" w:rsidRDefault="00665C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1.11其他技术商务评分相关资料；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东院区11楼1114室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报名，本项目接受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520D0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F03B0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BA69E1" w:rsidRPr="001620B8" w:rsidRDefault="00F03B03" w:rsidP="001620B8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1620B8" w:rsidRPr="00CD465E">
        <w:rPr>
          <w:rFonts w:hAnsi="宋体" w:hint="eastAsia"/>
          <w:sz w:val="24"/>
          <w:szCs w:val="24"/>
        </w:rPr>
        <w:t>根据医院实际要求分批交货</w:t>
      </w:r>
      <w:r w:rsidR="001620B8" w:rsidRPr="00CD465E">
        <w:rPr>
          <w:rFonts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交货时间：按院方要求提供。</w:t>
      </w:r>
    </w:p>
    <w:p w:rsidR="00CD465E" w:rsidRDefault="00F03B03" w:rsidP="00CD465E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E804BF" w:rsidRPr="00E804BF">
        <w:rPr>
          <w:rFonts w:hAnsi="宋体" w:hint="eastAsia"/>
          <w:sz w:val="24"/>
          <w:szCs w:val="24"/>
        </w:rPr>
        <w:t>按实际采购数量结算</w:t>
      </w:r>
      <w:r w:rsidR="00E804BF">
        <w:rPr>
          <w:rFonts w:hAnsi="宋体" w:hint="eastAsia"/>
          <w:sz w:val="24"/>
          <w:szCs w:val="24"/>
        </w:rPr>
        <w:t>，</w:t>
      </w:r>
      <w:r w:rsidR="001620B8" w:rsidRPr="00CD465E">
        <w:rPr>
          <w:rFonts w:hAnsi="宋体" w:hint="eastAsia"/>
          <w:sz w:val="24"/>
          <w:szCs w:val="24"/>
        </w:rPr>
        <w:t>货到并</w:t>
      </w:r>
      <w:r w:rsidR="009544F4">
        <w:rPr>
          <w:rFonts w:hAnsi="宋体" w:hint="eastAsia"/>
          <w:sz w:val="24"/>
          <w:szCs w:val="24"/>
        </w:rPr>
        <w:t>安装</w:t>
      </w:r>
      <w:r w:rsidR="001620B8" w:rsidRPr="00CD465E">
        <w:rPr>
          <w:rFonts w:hAnsi="宋体" w:hint="eastAsia"/>
          <w:sz w:val="24"/>
          <w:szCs w:val="24"/>
        </w:rPr>
        <w:t>验收合格</w:t>
      </w:r>
      <w:proofErr w:type="gramStart"/>
      <w:r w:rsidR="001620B8" w:rsidRPr="00CD465E">
        <w:rPr>
          <w:rFonts w:hAnsi="宋体" w:hint="eastAsia"/>
          <w:sz w:val="24"/>
          <w:szCs w:val="24"/>
        </w:rPr>
        <w:t>后</w:t>
      </w:r>
      <w:r w:rsidR="009544F4">
        <w:rPr>
          <w:rFonts w:hAnsi="宋体" w:hint="eastAsia"/>
          <w:sz w:val="24"/>
          <w:szCs w:val="24"/>
        </w:rPr>
        <w:t>二月</w:t>
      </w:r>
      <w:proofErr w:type="gramEnd"/>
      <w:r w:rsidR="009544F4">
        <w:rPr>
          <w:rFonts w:hAnsi="宋体" w:hint="eastAsia"/>
          <w:sz w:val="24"/>
          <w:szCs w:val="24"/>
        </w:rPr>
        <w:t>内支付</w:t>
      </w:r>
      <w:r w:rsidR="001620B8" w:rsidRPr="00CD465E">
        <w:rPr>
          <w:rFonts w:hAnsi="宋体" w:hint="eastAsia"/>
          <w:sz w:val="24"/>
          <w:szCs w:val="24"/>
        </w:rPr>
        <w:t>。</w:t>
      </w:r>
    </w:p>
    <w:p w:rsidR="00BA69E1" w:rsidRPr="00CD465E" w:rsidRDefault="00BA69E1" w:rsidP="00CD465E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A69E1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A69E1" w:rsidRDefault="00BA69E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20</w:t>
      </w:r>
    </w:p>
    <w:p w:rsidR="00665C1A" w:rsidRDefault="00665C1A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</w:rPr>
        <w:lastRenderedPageBreak/>
        <w:t>项目评分表</w:t>
      </w:r>
    </w:p>
    <w:tbl>
      <w:tblPr>
        <w:tblW w:w="9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6"/>
        <w:gridCol w:w="803"/>
      </w:tblGrid>
      <w:tr w:rsidR="00627702" w:rsidTr="00515018">
        <w:trPr>
          <w:cantSplit/>
          <w:trHeight w:val="45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627702" w:rsidRDefault="00627702" w:rsidP="00515018">
            <w:pPr>
              <w:spacing w:line="400" w:lineRule="exact"/>
              <w:ind w:right="210" w:firstLineChars="2250" w:firstLine="4725"/>
              <w:rPr>
                <w:szCs w:val="21"/>
              </w:rPr>
            </w:pPr>
            <w:r>
              <w:rPr>
                <w:szCs w:val="21"/>
              </w:rPr>
              <w:t>投标单位</w:t>
            </w:r>
          </w:p>
          <w:p w:rsidR="00627702" w:rsidRDefault="00627702" w:rsidP="00515018">
            <w:pPr>
              <w:spacing w:line="40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评分</w:t>
            </w:r>
            <w:r>
              <w:rPr>
                <w:rFonts w:hint="eastAsia"/>
                <w:szCs w:val="21"/>
              </w:rPr>
              <w:t>细则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7848A9" w:rsidP="005150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技术商务分70分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7848A9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int="eastAsia"/>
                <w:b/>
                <w:szCs w:val="21"/>
              </w:rPr>
              <w:t>项目采购需求中“采购清单及技术要求”的</w:t>
            </w:r>
            <w:r w:rsidR="00627702" w:rsidRPr="00515018">
              <w:rPr>
                <w:rFonts w:hint="eastAsia"/>
                <w:b/>
                <w:szCs w:val="21"/>
              </w:rPr>
              <w:t>响应情况（</w:t>
            </w:r>
            <w:r w:rsidR="00DF55BE">
              <w:rPr>
                <w:rFonts w:hint="eastAsia"/>
                <w:b/>
                <w:szCs w:val="21"/>
              </w:rPr>
              <w:t>30</w:t>
            </w:r>
            <w:r w:rsidR="00627702" w:rsidRPr="00515018">
              <w:rPr>
                <w:rFonts w:hint="eastAsia"/>
                <w:b/>
                <w:szCs w:val="21"/>
              </w:rPr>
              <w:t>分）</w:t>
            </w:r>
          </w:p>
          <w:p w:rsidR="007848A9" w:rsidRDefault="007848A9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采购文件 “采购清单及技术要求”所有指标的得</w:t>
            </w:r>
            <w:r w:rsidR="00DF55BE"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</w:p>
          <w:p w:rsidR="007848A9" w:rsidRDefault="007848A9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每负偏离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一条标“▲”指标的扣2分。</w:t>
            </w:r>
          </w:p>
          <w:p w:rsidR="007848A9" w:rsidRDefault="007848A9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每负偏离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一条未标或“▲”指标的扣1分。</w:t>
            </w:r>
          </w:p>
          <w:p w:rsidR="00627702" w:rsidRPr="00F30BFB" w:rsidRDefault="007848A9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（4）本项最高得</w:t>
            </w:r>
            <w:r w:rsidR="00DA2F73"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分，当扣减至0分（或以下），其投标文件作无效标处理。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627702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Ansi="宋体"/>
                <w:b/>
                <w:szCs w:val="21"/>
              </w:rPr>
              <w:t>业绩（</w:t>
            </w:r>
            <w:r w:rsidR="00B322E5">
              <w:rPr>
                <w:rFonts w:hAnsi="宋体" w:hint="eastAsia"/>
                <w:b/>
                <w:szCs w:val="21"/>
              </w:rPr>
              <w:t>3</w:t>
            </w:r>
            <w:r w:rsidRPr="00515018">
              <w:rPr>
                <w:rFonts w:hAnsi="宋体"/>
                <w:b/>
                <w:szCs w:val="21"/>
              </w:rPr>
              <w:t>分）</w:t>
            </w:r>
          </w:p>
          <w:p w:rsidR="00627702" w:rsidRDefault="007848A9" w:rsidP="005150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供应商或生产厂家自2023年1月1日（以合同中签订时间为准）至今，同类项目业绩情况，每提供一份业绩证明材料得1分，最高</w:t>
            </w:r>
            <w:r w:rsidR="00B322E5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 w:rsidRPr="007848A9">
              <w:rPr>
                <w:rFonts w:ascii="宋体" w:hAnsi="宋体" w:cs="宋体" w:hint="eastAsia"/>
                <w:b/>
                <w:szCs w:val="21"/>
              </w:rPr>
              <w:t>（投标文件中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提供合同扫描件加盖供应商公章，未按要求提供或合同中没有签订时间的，均不得分。）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根据供应商技术需求表响应数据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，</w:t>
            </w:r>
            <w:r>
              <w:rPr>
                <w:rFonts w:ascii="宋体" w:hAnsi="宋体" w:cs="宋体" w:hint="eastAsia"/>
                <w:b/>
                <w:szCs w:val="21"/>
              </w:rPr>
              <w:t>对其技术水平、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投</w:t>
            </w:r>
            <w:r>
              <w:rPr>
                <w:rFonts w:ascii="宋体" w:hAnsi="宋体" w:cs="宋体" w:hint="eastAsia"/>
                <w:b/>
                <w:szCs w:val="21"/>
              </w:rPr>
              <w:t>标产品选型情况及产品性能、相关检测报告符合程度进行综合评议，酌情给分（</w:t>
            </w:r>
            <w:r w:rsidR="00B322E5">
              <w:rPr>
                <w:rFonts w:ascii="宋体" w:hAnsi="宋体" w:cs="宋体" w:hint="eastAsia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分）</w:t>
            </w:r>
          </w:p>
          <w:p w:rsidR="00515018" w:rsidRPr="00515018" w:rsidRDefault="00515018" w:rsidP="00DF55BE">
            <w:pPr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要求产品各项指标均优于或满足使用要求，性能稳定可靠具有升级空间，技术性能充分满足医院要求。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根据供应商提供的质量保证措施，包括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但不</w:t>
            </w:r>
            <w:r>
              <w:rPr>
                <w:rFonts w:ascii="宋体" w:hAnsi="宋体" w:cs="宋体" w:hint="eastAsia"/>
                <w:b/>
                <w:szCs w:val="21"/>
              </w:rPr>
              <w:t>限于生产运输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质量保证措施、</w:t>
            </w:r>
            <w:r>
              <w:rPr>
                <w:rFonts w:ascii="宋体" w:hAnsi="宋体" w:cs="宋体" w:hint="eastAsia"/>
                <w:b/>
                <w:szCs w:val="21"/>
              </w:rPr>
              <w:t>安装调试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质量保证措施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检验、验收等采用或依据的标准、规范</w:t>
            </w:r>
            <w:r>
              <w:rPr>
                <w:rFonts w:ascii="宋体" w:hAnsi="宋体" w:cs="宋体" w:hint="eastAsia"/>
                <w:b/>
                <w:szCs w:val="21"/>
              </w:rPr>
              <w:t>符合行业标准等内容进行综合评议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，酌情给分</w:t>
            </w:r>
            <w:r>
              <w:rPr>
                <w:rFonts w:ascii="宋体" w:hAnsi="宋体" w:cs="宋体" w:hint="eastAsia"/>
                <w:b/>
                <w:szCs w:val="21"/>
              </w:rPr>
              <w:t>（</w:t>
            </w:r>
            <w:r w:rsidR="00B322E5">
              <w:rPr>
                <w:rFonts w:ascii="宋体" w:hAnsi="宋体" w:cs="宋体" w:hint="eastAsia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分）</w:t>
            </w:r>
          </w:p>
          <w:p w:rsidR="00515018" w:rsidRDefault="00515018" w:rsidP="0051501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要求质量保证措施完整、合理，</w:t>
            </w:r>
            <w:r>
              <w:rPr>
                <w:rFonts w:ascii="宋体" w:hAnsi="宋体" w:cs="宋体" w:hint="eastAsia"/>
                <w:szCs w:val="21"/>
              </w:rPr>
              <w:t>能确保所供产品质量符合国家法定标准的，保障措施有力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根据供应商提供的供货方案和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退换货服务方案</w:t>
            </w:r>
            <w:r>
              <w:rPr>
                <w:rFonts w:ascii="宋体" w:hAnsi="宋体" w:cs="宋体" w:hint="eastAsia"/>
                <w:b/>
                <w:szCs w:val="21"/>
              </w:rPr>
              <w:t>，包括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但不限于</w:t>
            </w:r>
            <w:r>
              <w:rPr>
                <w:rFonts w:ascii="宋体" w:hAnsi="宋体" w:cs="宋体" w:hint="eastAsia"/>
                <w:b/>
                <w:szCs w:val="21"/>
              </w:rPr>
              <w:t>供货期、交货方式、供货保障流程、配送方案、安装、调试和验收方案、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退换货时间、流程、人员安排</w:t>
            </w:r>
            <w:r>
              <w:rPr>
                <w:rFonts w:ascii="宋体" w:hAnsi="宋体" w:cs="宋体" w:hint="eastAsia"/>
                <w:b/>
                <w:szCs w:val="21"/>
              </w:rPr>
              <w:t>等进行评议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，酌情给分（</w:t>
            </w:r>
            <w:r w:rsidR="00B322E5">
              <w:rPr>
                <w:rFonts w:ascii="宋体" w:hAnsi="宋体" w:cs="宋体" w:hint="eastAsia"/>
                <w:b/>
                <w:szCs w:val="21"/>
              </w:rPr>
              <w:t>8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分）</w:t>
            </w:r>
          </w:p>
          <w:p w:rsidR="00515018" w:rsidRDefault="00515018" w:rsidP="0051501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要求供货期优于或满足招标文件要求、交货方式切合实际需求、供货保障流程设计合理，能确保供货；</w:t>
            </w:r>
            <w:r>
              <w:rPr>
                <w:rFonts w:ascii="宋体" w:hAnsi="宋体" w:cs="宋体" w:hint="eastAsia"/>
                <w:bCs/>
                <w:szCs w:val="21"/>
              </w:rPr>
              <w:t>有完善的退换货制度，流程设计安排合理，人员配置能确保及时退或换货。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515018" w:rsidP="00515018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根据</w:t>
            </w:r>
            <w:r>
              <w:rPr>
                <w:rFonts w:ascii="宋体" w:hAnsi="宋体" w:cs="宋体" w:hint="eastAsia"/>
                <w:b/>
                <w:szCs w:val="21"/>
              </w:rPr>
              <w:t>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培训方案，包括维修检测培训、安装操作指导、培训人员技术力量、培训时间安排等进行评议，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酌情给分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B322E5">
              <w:rPr>
                <w:rFonts w:ascii="宋体" w:hAnsi="宋体" w:cs="宋体" w:hint="eastAsia"/>
                <w:b/>
                <w:bCs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  <w:p w:rsidR="00515018" w:rsidRPr="00DB1A97" w:rsidRDefault="00515018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要求培训时间安排合理、培训内容涵盖本次设备所需技术需求、能</w:t>
            </w:r>
            <w:r>
              <w:rPr>
                <w:rFonts w:ascii="宋体" w:hAnsi="宋体" w:cs="宋体" w:hint="eastAsia"/>
                <w:szCs w:val="21"/>
              </w:rPr>
              <w:t>确保采购人使用人员可自行完成常规操作、采购人维修人员可自行处理常见故障维修。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97" w:rsidRDefault="00DB1A97" w:rsidP="00515018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根据供应商提供的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售后服务方案，包括但不限于售后资质，服务响应时间、技术支持、服务体系等进行评议，酌情给分（</w:t>
            </w:r>
            <w:r w:rsidR="00DA2F73"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  <w:p w:rsidR="00627702" w:rsidRPr="00DB1A97" w:rsidRDefault="00DB1A97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</w:t>
            </w:r>
            <w:r w:rsidRPr="00DB1A97">
              <w:rPr>
                <w:rFonts w:ascii="宋体" w:hAnsi="宋体" w:cs="宋体" w:hint="eastAsia"/>
                <w:szCs w:val="21"/>
              </w:rPr>
              <w:t>具有</w:t>
            </w:r>
            <w:r>
              <w:rPr>
                <w:rFonts w:ascii="宋体" w:hAnsi="宋体" w:cs="宋体" w:hint="eastAsia"/>
                <w:szCs w:val="21"/>
              </w:rPr>
              <w:t>售后</w:t>
            </w:r>
            <w:r w:rsidRPr="00DB1A97">
              <w:rPr>
                <w:rFonts w:ascii="宋体" w:hAnsi="宋体" w:cs="宋体" w:hint="eastAsia"/>
                <w:szCs w:val="21"/>
              </w:rPr>
              <w:t>认证资质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DB1A97">
              <w:rPr>
                <w:rFonts w:ascii="宋体" w:hAnsi="宋体" w:cs="宋体" w:hint="eastAsia"/>
                <w:szCs w:val="21"/>
              </w:rPr>
              <w:t>方案完整合理、保修范围覆盖本项目内容、能确保在30分钟内响应，并在2小时内到达现场、技术支持强大、服务体系完善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价格分</w:t>
            </w:r>
            <w:r>
              <w:rPr>
                <w:szCs w:val="21"/>
              </w:rPr>
              <w:t xml:space="preserve"> </w:t>
            </w:r>
          </w:p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评标基准价=</w:t>
            </w:r>
            <w:r>
              <w:rPr>
                <w:rFonts w:ascii="宋体" w:hAnsi="宋体" w:cs="宋体" w:hint="eastAsia"/>
                <w:szCs w:val="21"/>
              </w:rPr>
              <w:t>满足招标文件要求且“评标价格”中最低的价格为评标基准价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基准价得分为满分</w:t>
            </w:r>
            <w:r w:rsidRPr="00627702">
              <w:rPr>
                <w:rFonts w:ascii="宋体" w:hAnsi="宋体" w:cs="宋体" w:hint="eastAsia"/>
                <w:szCs w:val="21"/>
              </w:rPr>
              <w:t>30分</w:t>
            </w:r>
            <w:r w:rsidRPr="00627702"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其他供应商报价得分计算公式如下：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其他供应商报价得分=（评标基准价/参与评审的价格）×30%×100</w:t>
            </w:r>
          </w:p>
          <w:p w:rsidR="00B322E5" w:rsidRPr="00B322E5" w:rsidRDefault="00B322E5" w:rsidP="00B322E5">
            <w:pPr>
              <w:spacing w:line="400" w:lineRule="exact"/>
              <w:rPr>
                <w:b/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注：</w:t>
            </w:r>
            <w:r w:rsidRPr="00B322E5">
              <w:rPr>
                <w:rFonts w:hint="eastAsia"/>
                <w:b/>
                <w:szCs w:val="21"/>
              </w:rPr>
              <w:t>1</w:t>
            </w:r>
            <w:r w:rsidRPr="00B322E5">
              <w:rPr>
                <w:rFonts w:hint="eastAsia"/>
                <w:b/>
                <w:szCs w:val="21"/>
              </w:rPr>
              <w:t>、投标报价超过对应最高限价的作无效标处理。</w:t>
            </w:r>
          </w:p>
          <w:p w:rsidR="00B322E5" w:rsidRDefault="00B322E5" w:rsidP="00B322E5">
            <w:pPr>
              <w:spacing w:line="400" w:lineRule="exact"/>
              <w:rPr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、价格得分小数点后保留</w:t>
            </w: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位小数，第</w:t>
            </w:r>
            <w:r w:rsidRPr="00B322E5">
              <w:rPr>
                <w:rFonts w:hint="eastAsia"/>
                <w:b/>
                <w:szCs w:val="21"/>
              </w:rPr>
              <w:t>3</w:t>
            </w:r>
            <w:r w:rsidRPr="00B322E5">
              <w:rPr>
                <w:rFonts w:hint="eastAsia"/>
                <w:b/>
                <w:szCs w:val="21"/>
              </w:rPr>
              <w:t>位小数四舍五入。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</w:tbl>
    <w:p w:rsidR="00256E8A" w:rsidRDefault="00256E8A" w:rsidP="00256E8A">
      <w:pPr>
        <w:spacing w:line="240" w:lineRule="exact"/>
        <w:rPr>
          <w:rFonts w:ascii="宋体" w:hAnsi="宋体"/>
          <w:sz w:val="24"/>
          <w:szCs w:val="24"/>
        </w:rPr>
      </w:pP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rFonts w:hAnsi="宋体"/>
          <w:spacing w:val="14"/>
        </w:rPr>
        <w:t>备注：</w:t>
      </w: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spacing w:val="14"/>
        </w:rPr>
        <w:t>1</w:t>
      </w:r>
      <w:r>
        <w:rPr>
          <w:rFonts w:hAnsi="宋体"/>
          <w:spacing w:val="14"/>
        </w:rPr>
        <w:t>）评委根据评标情况逐栏打分，每栏分值不得超出本栏规定的分值范围；</w:t>
      </w:r>
    </w:p>
    <w:p w:rsidR="00256E8A" w:rsidRDefault="00256E8A" w:rsidP="00256E8A">
      <w:pPr>
        <w:spacing w:line="360" w:lineRule="exact"/>
        <w:ind w:left="357" w:hangingChars="150" w:hanging="357"/>
        <w:rPr>
          <w:rFonts w:hAnsi="宋体"/>
          <w:spacing w:val="14"/>
        </w:rPr>
      </w:pPr>
      <w:r>
        <w:rPr>
          <w:spacing w:val="14"/>
        </w:rPr>
        <w:t>2</w:t>
      </w:r>
      <w:r>
        <w:rPr>
          <w:rFonts w:hAnsi="宋体"/>
          <w:spacing w:val="14"/>
        </w:rPr>
        <w:t>）各评分因素分值精确到小数点后</w:t>
      </w:r>
      <w:r w:rsidR="00CA0B9B">
        <w:rPr>
          <w:rFonts w:hAnsi="宋体" w:hint="eastAsia"/>
          <w:spacing w:val="14"/>
        </w:rPr>
        <w:t>两</w:t>
      </w:r>
      <w:r>
        <w:rPr>
          <w:rFonts w:hAnsi="宋体"/>
          <w:spacing w:val="14"/>
        </w:rPr>
        <w:t>位；</w:t>
      </w:r>
    </w:p>
    <w:p w:rsidR="00256E8A" w:rsidRDefault="00256E8A" w:rsidP="00256E8A">
      <w:pPr>
        <w:spacing w:line="360" w:lineRule="exact"/>
        <w:ind w:left="357" w:hangingChars="150" w:hanging="357"/>
        <w:rPr>
          <w:spacing w:val="14"/>
        </w:rPr>
      </w:pPr>
      <w:r>
        <w:rPr>
          <w:spacing w:val="14"/>
        </w:rPr>
        <w:t>3</w:t>
      </w:r>
      <w:r>
        <w:rPr>
          <w:rFonts w:hAnsi="宋体"/>
          <w:spacing w:val="14"/>
        </w:rPr>
        <w:t>）评标过程中有其他未尽事宜，由评委会集体讨论决定。</w:t>
      </w:r>
    </w:p>
    <w:p w:rsidR="00256E8A" w:rsidRPr="00256E8A" w:rsidRDefault="00256E8A">
      <w:pPr>
        <w:rPr>
          <w:b/>
          <w:bCs/>
        </w:rPr>
      </w:pPr>
    </w:p>
    <w:sectPr w:rsidR="00256E8A" w:rsidRPr="00256E8A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40D"/>
    <w:multiLevelType w:val="multilevel"/>
    <w:tmpl w:val="250A240D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107E"/>
    <w:rsid w:val="00002379"/>
    <w:rsid w:val="00020D98"/>
    <w:rsid w:val="0007263B"/>
    <w:rsid w:val="00111BD3"/>
    <w:rsid w:val="00136F30"/>
    <w:rsid w:val="00146CFC"/>
    <w:rsid w:val="001620B8"/>
    <w:rsid w:val="00185377"/>
    <w:rsid w:val="001A254A"/>
    <w:rsid w:val="001B00E4"/>
    <w:rsid w:val="001D5CE1"/>
    <w:rsid w:val="001E45B1"/>
    <w:rsid w:val="001E7837"/>
    <w:rsid w:val="002367A2"/>
    <w:rsid w:val="00256E8A"/>
    <w:rsid w:val="00277B25"/>
    <w:rsid w:val="002B573F"/>
    <w:rsid w:val="002C1935"/>
    <w:rsid w:val="002C2C3D"/>
    <w:rsid w:val="002F2AB0"/>
    <w:rsid w:val="00300F8F"/>
    <w:rsid w:val="00327378"/>
    <w:rsid w:val="003343D5"/>
    <w:rsid w:val="00345FEE"/>
    <w:rsid w:val="0035037A"/>
    <w:rsid w:val="00360C2B"/>
    <w:rsid w:val="003679E8"/>
    <w:rsid w:val="00376D25"/>
    <w:rsid w:val="00390312"/>
    <w:rsid w:val="003D7AF2"/>
    <w:rsid w:val="003E2858"/>
    <w:rsid w:val="003E3BF7"/>
    <w:rsid w:val="003E65D1"/>
    <w:rsid w:val="003F18FC"/>
    <w:rsid w:val="00401917"/>
    <w:rsid w:val="004122FA"/>
    <w:rsid w:val="00413582"/>
    <w:rsid w:val="00424BF0"/>
    <w:rsid w:val="00425AAA"/>
    <w:rsid w:val="0045179E"/>
    <w:rsid w:val="0046078C"/>
    <w:rsid w:val="00474D92"/>
    <w:rsid w:val="00475197"/>
    <w:rsid w:val="004927CE"/>
    <w:rsid w:val="004A2E42"/>
    <w:rsid w:val="004C1F21"/>
    <w:rsid w:val="004D0C5C"/>
    <w:rsid w:val="004D5F72"/>
    <w:rsid w:val="004D66A3"/>
    <w:rsid w:val="00506A39"/>
    <w:rsid w:val="00515018"/>
    <w:rsid w:val="00520D06"/>
    <w:rsid w:val="0052567C"/>
    <w:rsid w:val="00542AC6"/>
    <w:rsid w:val="00563C8F"/>
    <w:rsid w:val="005B681D"/>
    <w:rsid w:val="005D35CA"/>
    <w:rsid w:val="00614A1D"/>
    <w:rsid w:val="00627702"/>
    <w:rsid w:val="0063469E"/>
    <w:rsid w:val="00665C1A"/>
    <w:rsid w:val="00666841"/>
    <w:rsid w:val="006A16A3"/>
    <w:rsid w:val="006F1386"/>
    <w:rsid w:val="00711443"/>
    <w:rsid w:val="00732D87"/>
    <w:rsid w:val="00740DEC"/>
    <w:rsid w:val="007423D3"/>
    <w:rsid w:val="00784746"/>
    <w:rsid w:val="007848A9"/>
    <w:rsid w:val="0079032C"/>
    <w:rsid w:val="00797758"/>
    <w:rsid w:val="007B7377"/>
    <w:rsid w:val="007D667C"/>
    <w:rsid w:val="007D7FD4"/>
    <w:rsid w:val="008137FB"/>
    <w:rsid w:val="008141F8"/>
    <w:rsid w:val="00831C40"/>
    <w:rsid w:val="008346A7"/>
    <w:rsid w:val="008365B6"/>
    <w:rsid w:val="00875B2F"/>
    <w:rsid w:val="008805D3"/>
    <w:rsid w:val="00885053"/>
    <w:rsid w:val="008C2C30"/>
    <w:rsid w:val="008C5C95"/>
    <w:rsid w:val="008D636E"/>
    <w:rsid w:val="009544F4"/>
    <w:rsid w:val="009636D6"/>
    <w:rsid w:val="0097643E"/>
    <w:rsid w:val="009830E5"/>
    <w:rsid w:val="009A42E2"/>
    <w:rsid w:val="009B04C2"/>
    <w:rsid w:val="009B72A4"/>
    <w:rsid w:val="009C1010"/>
    <w:rsid w:val="00A429AC"/>
    <w:rsid w:val="00A6188E"/>
    <w:rsid w:val="00A876D8"/>
    <w:rsid w:val="00A917E5"/>
    <w:rsid w:val="00AA2385"/>
    <w:rsid w:val="00AB52F2"/>
    <w:rsid w:val="00AB629D"/>
    <w:rsid w:val="00AE240F"/>
    <w:rsid w:val="00AE3EDA"/>
    <w:rsid w:val="00AE437B"/>
    <w:rsid w:val="00AF5E25"/>
    <w:rsid w:val="00B31BEC"/>
    <w:rsid w:val="00B322E5"/>
    <w:rsid w:val="00B45320"/>
    <w:rsid w:val="00B657DF"/>
    <w:rsid w:val="00B73ABC"/>
    <w:rsid w:val="00B8396B"/>
    <w:rsid w:val="00B931D7"/>
    <w:rsid w:val="00B93868"/>
    <w:rsid w:val="00BA69E1"/>
    <w:rsid w:val="00BB13EE"/>
    <w:rsid w:val="00BD3699"/>
    <w:rsid w:val="00BD7C2D"/>
    <w:rsid w:val="00BE461B"/>
    <w:rsid w:val="00BF76C6"/>
    <w:rsid w:val="00C002C8"/>
    <w:rsid w:val="00C16927"/>
    <w:rsid w:val="00C3684B"/>
    <w:rsid w:val="00C5333C"/>
    <w:rsid w:val="00C71A33"/>
    <w:rsid w:val="00C9668E"/>
    <w:rsid w:val="00CA0B9B"/>
    <w:rsid w:val="00CA3443"/>
    <w:rsid w:val="00CA5932"/>
    <w:rsid w:val="00CC1975"/>
    <w:rsid w:val="00CD35EA"/>
    <w:rsid w:val="00CD465E"/>
    <w:rsid w:val="00CD5472"/>
    <w:rsid w:val="00CE3C22"/>
    <w:rsid w:val="00CE571E"/>
    <w:rsid w:val="00CF1237"/>
    <w:rsid w:val="00D247DA"/>
    <w:rsid w:val="00D27A4D"/>
    <w:rsid w:val="00D41BAA"/>
    <w:rsid w:val="00D42269"/>
    <w:rsid w:val="00D56B39"/>
    <w:rsid w:val="00D56DF1"/>
    <w:rsid w:val="00D90A5C"/>
    <w:rsid w:val="00D91695"/>
    <w:rsid w:val="00DA2F73"/>
    <w:rsid w:val="00DB1A97"/>
    <w:rsid w:val="00DF55BE"/>
    <w:rsid w:val="00E3032C"/>
    <w:rsid w:val="00E737B8"/>
    <w:rsid w:val="00E804BF"/>
    <w:rsid w:val="00E86E10"/>
    <w:rsid w:val="00E9777D"/>
    <w:rsid w:val="00EC3040"/>
    <w:rsid w:val="00EF06FE"/>
    <w:rsid w:val="00F03B03"/>
    <w:rsid w:val="00F3085B"/>
    <w:rsid w:val="00F30BFB"/>
    <w:rsid w:val="00F343FF"/>
    <w:rsid w:val="00F65AED"/>
    <w:rsid w:val="00F76096"/>
    <w:rsid w:val="00F7739C"/>
    <w:rsid w:val="00FD73D2"/>
    <w:rsid w:val="00FE4C89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qFormat/>
    <w:rsid w:val="00BA69E1"/>
    <w:pPr>
      <w:ind w:firstLineChars="200" w:firstLine="420"/>
    </w:pPr>
  </w:style>
  <w:style w:type="paragraph" w:styleId="a7">
    <w:name w:val="Body Text"/>
    <w:basedOn w:val="a"/>
    <w:link w:val="Char1"/>
    <w:rsid w:val="00256E8A"/>
    <w:rPr>
      <w:rFonts w:ascii="Times New Roman" w:eastAsia="宋体" w:hAnsi="Times New Roman" w:cs="Times New Roman"/>
      <w:i/>
      <w:sz w:val="18"/>
      <w:szCs w:val="20"/>
    </w:rPr>
  </w:style>
  <w:style w:type="character" w:customStyle="1" w:styleId="Char1">
    <w:name w:val="正文文本 Char"/>
    <w:basedOn w:val="a0"/>
    <w:link w:val="a7"/>
    <w:rsid w:val="00256E8A"/>
    <w:rPr>
      <w:rFonts w:ascii="Times New Roman" w:eastAsia="宋体" w:hAnsi="Times New Roman" w:cs="Times New Roman"/>
      <w:i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D79-DCD1-4EDE-A90A-03567F7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2132</Words>
  <Characters>245</Characters>
  <Application>Microsoft Office Word</Application>
  <DocSecurity>0</DocSecurity>
  <Lines>2</Lines>
  <Paragraphs>4</Paragraphs>
  <ScaleCrop>false</ScaleCrop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7</cp:revision>
  <dcterms:created xsi:type="dcterms:W3CDTF">2026-03-05T07:06:00Z</dcterms:created>
  <dcterms:modified xsi:type="dcterms:W3CDTF">2026-03-26T05:58:00Z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