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AD03D3">
      <w:pPr>
        <w:pStyle w:val="a9"/>
        <w:ind w:firstLineChars="0" w:firstLine="0"/>
        <w:jc w:val="center"/>
        <w:rPr>
          <w:rFonts w:ascii="宋体" w:hAnsi="宋体"/>
          <w:szCs w:val="21"/>
        </w:rPr>
      </w:pPr>
      <w:r>
        <w:rPr>
          <w:rFonts w:hint="eastAsia"/>
          <w:b/>
          <w:sz w:val="30"/>
          <w:szCs w:val="30"/>
        </w:rPr>
        <w:t>鄞州</w:t>
      </w:r>
      <w:r w:rsidR="00E522C1">
        <w:rPr>
          <w:rFonts w:hint="eastAsia"/>
          <w:b/>
          <w:sz w:val="30"/>
          <w:szCs w:val="30"/>
        </w:rPr>
        <w:t>人民医院</w:t>
      </w:r>
      <w:r>
        <w:rPr>
          <w:rFonts w:hint="eastAsia"/>
          <w:b/>
          <w:sz w:val="30"/>
          <w:szCs w:val="30"/>
        </w:rPr>
        <w:t>医共体</w:t>
      </w:r>
      <w:r w:rsidR="000F2E65" w:rsidRPr="000F2E65">
        <w:rPr>
          <w:rFonts w:hint="eastAsia"/>
          <w:b/>
          <w:sz w:val="30"/>
          <w:szCs w:val="30"/>
        </w:rPr>
        <w:t>口腔综合治疗台</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559"/>
        <w:gridCol w:w="992"/>
        <w:gridCol w:w="4536"/>
        <w:gridCol w:w="1134"/>
      </w:tblGrid>
      <w:tr w:rsidR="00C448C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559"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992"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4D1CDD" w:rsidTr="00F97A74">
        <w:trPr>
          <w:trHeight w:val="564"/>
        </w:trPr>
        <w:tc>
          <w:tcPr>
            <w:tcW w:w="710" w:type="dxa"/>
          </w:tcPr>
          <w:p w:rsidR="004D1CDD" w:rsidRDefault="00CA1590" w:rsidP="00F97A74">
            <w:pPr>
              <w:pStyle w:val="a9"/>
              <w:ind w:firstLineChars="0" w:firstLine="0"/>
              <w:rPr>
                <w:rFonts w:ascii="宋体" w:hAnsi="宋体"/>
                <w:szCs w:val="21"/>
              </w:rPr>
            </w:pPr>
            <w:r>
              <w:rPr>
                <w:rFonts w:ascii="宋体" w:hAnsi="宋体" w:hint="eastAsia"/>
                <w:szCs w:val="21"/>
              </w:rPr>
              <w:t>1</w:t>
            </w:r>
          </w:p>
        </w:tc>
        <w:tc>
          <w:tcPr>
            <w:tcW w:w="1559" w:type="dxa"/>
          </w:tcPr>
          <w:p w:rsidR="004D1CDD" w:rsidRPr="00E44A65" w:rsidRDefault="004D1CDD" w:rsidP="003A6963">
            <w:pPr>
              <w:pStyle w:val="a9"/>
              <w:ind w:firstLineChars="0" w:firstLine="0"/>
              <w:rPr>
                <w:rFonts w:ascii="宋体" w:hAnsi="宋体"/>
                <w:szCs w:val="21"/>
              </w:rPr>
            </w:pPr>
            <w:r w:rsidRPr="00E44A65">
              <w:rPr>
                <w:rFonts w:ascii="宋体" w:hAnsi="宋体" w:hint="eastAsia"/>
                <w:szCs w:val="21"/>
              </w:rPr>
              <w:t>口腔综合治疗台</w:t>
            </w:r>
          </w:p>
        </w:tc>
        <w:tc>
          <w:tcPr>
            <w:tcW w:w="992" w:type="dxa"/>
          </w:tcPr>
          <w:p w:rsidR="004D1CDD" w:rsidRDefault="004D1CDD" w:rsidP="003A6963">
            <w:pPr>
              <w:rPr>
                <w:rFonts w:ascii="宋体" w:hAnsi="宋体"/>
                <w:szCs w:val="21"/>
              </w:rPr>
            </w:pPr>
            <w:r>
              <w:rPr>
                <w:rFonts w:ascii="宋体" w:hAnsi="宋体" w:hint="eastAsia"/>
                <w:szCs w:val="21"/>
              </w:rPr>
              <w:t>5台</w:t>
            </w:r>
          </w:p>
        </w:tc>
        <w:tc>
          <w:tcPr>
            <w:tcW w:w="4536" w:type="dxa"/>
          </w:tcPr>
          <w:p w:rsidR="004D1CDD" w:rsidRDefault="004D1CDD" w:rsidP="003A6963">
            <w:pPr>
              <w:rPr>
                <w:rFonts w:ascii="宋体" w:hAnsi="宋体"/>
                <w:szCs w:val="21"/>
              </w:rPr>
            </w:pPr>
            <w:r>
              <w:rPr>
                <w:rFonts w:ascii="宋体" w:hAnsi="宋体" w:hint="eastAsia"/>
                <w:szCs w:val="21"/>
              </w:rPr>
              <w:t>配置要求:</w:t>
            </w:r>
          </w:p>
          <w:p w:rsidR="004D1CDD" w:rsidRPr="00E44A65" w:rsidRDefault="004D1CDD" w:rsidP="003A6963">
            <w:pPr>
              <w:rPr>
                <w:rFonts w:ascii="宋体" w:hAnsi="宋体"/>
                <w:szCs w:val="21"/>
              </w:rPr>
            </w:pPr>
            <w:r w:rsidRPr="00E44A65">
              <w:rPr>
                <w:rFonts w:ascii="宋体" w:hAnsi="宋体" w:hint="eastAsia"/>
                <w:szCs w:val="21"/>
              </w:rPr>
              <w:t>1、二快机，一慢机</w:t>
            </w:r>
          </w:p>
          <w:p w:rsidR="004D1CDD" w:rsidRPr="00E44A65" w:rsidRDefault="004D1CDD" w:rsidP="003A6963">
            <w:pPr>
              <w:rPr>
                <w:rFonts w:ascii="宋体" w:hAnsi="宋体"/>
                <w:szCs w:val="21"/>
              </w:rPr>
            </w:pPr>
            <w:r w:rsidRPr="00E44A65">
              <w:rPr>
                <w:rFonts w:ascii="宋体" w:hAnsi="宋体" w:hint="eastAsia"/>
                <w:szCs w:val="21"/>
              </w:rPr>
              <w:t>2、内置式洁牙机</w:t>
            </w:r>
          </w:p>
          <w:p w:rsidR="004D1CDD" w:rsidRPr="00E44A65" w:rsidRDefault="004D1CDD" w:rsidP="003A6963">
            <w:pPr>
              <w:rPr>
                <w:rFonts w:ascii="宋体" w:hAnsi="宋体"/>
                <w:szCs w:val="21"/>
              </w:rPr>
            </w:pPr>
            <w:r w:rsidRPr="00E44A65">
              <w:rPr>
                <w:rFonts w:ascii="宋体" w:hAnsi="宋体" w:hint="eastAsia"/>
                <w:szCs w:val="21"/>
              </w:rPr>
              <w:t>3、可调LED光源,感应式控制</w:t>
            </w:r>
          </w:p>
          <w:p w:rsidR="004D1CDD" w:rsidRPr="00E44A65" w:rsidRDefault="004D1CDD" w:rsidP="003A6963">
            <w:pPr>
              <w:rPr>
                <w:rFonts w:ascii="宋体" w:hAnsi="宋体"/>
                <w:szCs w:val="21"/>
              </w:rPr>
            </w:pPr>
            <w:r w:rsidRPr="00E44A65">
              <w:rPr>
                <w:rFonts w:ascii="宋体" w:hAnsi="宋体" w:hint="eastAsia"/>
                <w:szCs w:val="21"/>
              </w:rPr>
              <w:t>4、漱口杯水温可加热</w:t>
            </w:r>
          </w:p>
          <w:p w:rsidR="004D1CDD" w:rsidRPr="00E44A65" w:rsidRDefault="004D1CDD" w:rsidP="003A6963">
            <w:pPr>
              <w:rPr>
                <w:rFonts w:ascii="宋体" w:hAnsi="宋体"/>
                <w:szCs w:val="21"/>
              </w:rPr>
            </w:pPr>
            <w:r w:rsidRPr="00E44A65">
              <w:rPr>
                <w:rFonts w:ascii="宋体" w:hAnsi="宋体" w:hint="eastAsia"/>
                <w:szCs w:val="21"/>
              </w:rPr>
              <w:t>5、椅垫进口PU材料，易清洁不易损伤</w:t>
            </w:r>
          </w:p>
          <w:p w:rsidR="004D1CDD" w:rsidRPr="00E44A65" w:rsidRDefault="004D1CDD" w:rsidP="003A6963">
            <w:pPr>
              <w:rPr>
                <w:rFonts w:ascii="宋体" w:hAnsi="宋体"/>
                <w:szCs w:val="21"/>
              </w:rPr>
            </w:pPr>
            <w:r w:rsidRPr="00E44A65">
              <w:rPr>
                <w:rFonts w:ascii="宋体" w:hAnsi="宋体" w:hint="eastAsia"/>
                <w:szCs w:val="21"/>
              </w:rPr>
              <w:t>6、进口水、气管及手机管</w:t>
            </w:r>
          </w:p>
          <w:p w:rsidR="004D1CDD" w:rsidRPr="00E44A65" w:rsidRDefault="004D1CDD" w:rsidP="003A6963">
            <w:pPr>
              <w:rPr>
                <w:rFonts w:ascii="宋体" w:hAnsi="宋体"/>
                <w:szCs w:val="21"/>
              </w:rPr>
            </w:pPr>
            <w:r w:rsidRPr="00E44A65">
              <w:rPr>
                <w:rFonts w:ascii="宋体" w:hAnsi="宋体" w:hint="eastAsia"/>
                <w:szCs w:val="21"/>
              </w:rPr>
              <w:t>7、下挂式手机操作系统</w:t>
            </w:r>
          </w:p>
          <w:p w:rsidR="004D1CDD" w:rsidRDefault="004D1CDD" w:rsidP="003A6963">
            <w:pPr>
              <w:rPr>
                <w:rFonts w:ascii="宋体" w:hAnsi="宋体"/>
                <w:szCs w:val="21"/>
              </w:rPr>
            </w:pPr>
            <w:r w:rsidRPr="00E44A65">
              <w:rPr>
                <w:rFonts w:ascii="宋体" w:hAnsi="宋体" w:hint="eastAsia"/>
                <w:szCs w:val="21"/>
              </w:rPr>
              <w:t>8、电马达动力系统至少1</w:t>
            </w:r>
            <w:proofErr w:type="gramStart"/>
            <w:r w:rsidRPr="00E44A65">
              <w:rPr>
                <w:rFonts w:ascii="宋体" w:hAnsi="宋体" w:hint="eastAsia"/>
                <w:szCs w:val="21"/>
              </w:rPr>
              <w:t>直机</w:t>
            </w:r>
            <w:proofErr w:type="gramEnd"/>
            <w:r w:rsidRPr="00E44A65">
              <w:rPr>
                <w:rFonts w:ascii="宋体" w:hAnsi="宋体" w:hint="eastAsia"/>
                <w:szCs w:val="21"/>
              </w:rPr>
              <w:tab/>
              <w:t>、1弯机。</w:t>
            </w:r>
          </w:p>
        </w:tc>
        <w:tc>
          <w:tcPr>
            <w:tcW w:w="1134" w:type="dxa"/>
          </w:tcPr>
          <w:p w:rsidR="004D1CDD" w:rsidRDefault="004D1CDD" w:rsidP="003A6963">
            <w:pPr>
              <w:pStyle w:val="a9"/>
              <w:ind w:firstLineChars="0" w:firstLine="0"/>
              <w:rPr>
                <w:rFonts w:ascii="宋体" w:hAnsi="宋体"/>
                <w:szCs w:val="21"/>
              </w:rPr>
            </w:pPr>
            <w:r>
              <w:rPr>
                <w:rFonts w:ascii="宋体" w:hAnsi="宋体" w:hint="eastAsia"/>
                <w:szCs w:val="21"/>
              </w:rPr>
              <w:t>17万元</w:t>
            </w:r>
          </w:p>
        </w:tc>
      </w:tr>
      <w:tr w:rsidR="004D1CDD" w:rsidTr="00377A3F">
        <w:trPr>
          <w:trHeight w:val="305"/>
        </w:trPr>
        <w:tc>
          <w:tcPr>
            <w:tcW w:w="710" w:type="dxa"/>
          </w:tcPr>
          <w:p w:rsidR="004D1CDD" w:rsidRDefault="00CA1590">
            <w:pPr>
              <w:pStyle w:val="a9"/>
              <w:ind w:firstLineChars="0" w:firstLine="0"/>
              <w:rPr>
                <w:rFonts w:ascii="宋体" w:hAnsi="宋体"/>
                <w:szCs w:val="21"/>
              </w:rPr>
            </w:pPr>
            <w:r>
              <w:rPr>
                <w:rFonts w:ascii="宋体" w:hAnsi="宋体" w:hint="eastAsia"/>
                <w:szCs w:val="21"/>
              </w:rPr>
              <w:t>2</w:t>
            </w:r>
          </w:p>
        </w:tc>
        <w:tc>
          <w:tcPr>
            <w:tcW w:w="1559" w:type="dxa"/>
            <w:vAlign w:val="center"/>
          </w:tcPr>
          <w:p w:rsidR="004D1CDD" w:rsidRPr="00E44A65" w:rsidRDefault="004D1CDD" w:rsidP="007F09BD">
            <w:pPr>
              <w:pStyle w:val="a9"/>
              <w:ind w:firstLineChars="0" w:firstLine="0"/>
              <w:rPr>
                <w:rFonts w:ascii="宋体" w:hAnsi="宋体"/>
                <w:szCs w:val="21"/>
              </w:rPr>
            </w:pPr>
            <w:r>
              <w:rPr>
                <w:rFonts w:ascii="宋体" w:hAnsi="宋体" w:hint="eastAsia"/>
                <w:szCs w:val="21"/>
              </w:rPr>
              <w:t>牙科种植机</w:t>
            </w:r>
          </w:p>
        </w:tc>
        <w:tc>
          <w:tcPr>
            <w:tcW w:w="992" w:type="dxa"/>
            <w:vAlign w:val="center"/>
          </w:tcPr>
          <w:p w:rsidR="004D1CDD" w:rsidRDefault="004D1CDD" w:rsidP="007F09BD">
            <w:pPr>
              <w:rPr>
                <w:rFonts w:ascii="宋体" w:hAnsi="宋体"/>
                <w:szCs w:val="21"/>
              </w:rPr>
            </w:pPr>
            <w:r>
              <w:rPr>
                <w:rFonts w:ascii="宋体" w:hAnsi="宋体" w:hint="eastAsia"/>
                <w:szCs w:val="21"/>
              </w:rPr>
              <w:t>3套</w:t>
            </w:r>
          </w:p>
        </w:tc>
        <w:tc>
          <w:tcPr>
            <w:tcW w:w="4536" w:type="dxa"/>
            <w:vAlign w:val="center"/>
          </w:tcPr>
          <w:p w:rsidR="004D1CDD" w:rsidRDefault="004D1CDD" w:rsidP="007F09BD">
            <w:pPr>
              <w:rPr>
                <w:rFonts w:ascii="宋体" w:hAnsi="宋体"/>
                <w:szCs w:val="21"/>
              </w:rPr>
            </w:pPr>
            <w:proofErr w:type="gramStart"/>
            <w:r>
              <w:rPr>
                <w:rFonts w:ascii="宋体" w:hAnsi="宋体" w:hint="eastAsia"/>
                <w:szCs w:val="21"/>
              </w:rPr>
              <w:t>含吸唾</w:t>
            </w:r>
            <w:proofErr w:type="gramEnd"/>
            <w:r>
              <w:rPr>
                <w:rFonts w:ascii="宋体" w:hAnsi="宋体" w:hint="eastAsia"/>
                <w:szCs w:val="21"/>
              </w:rPr>
              <w:t>、种植器械套装</w:t>
            </w:r>
          </w:p>
        </w:tc>
        <w:tc>
          <w:tcPr>
            <w:tcW w:w="1134" w:type="dxa"/>
            <w:vAlign w:val="center"/>
          </w:tcPr>
          <w:p w:rsidR="004D1CDD" w:rsidRDefault="004D1CDD" w:rsidP="007F09BD">
            <w:pPr>
              <w:pStyle w:val="a9"/>
              <w:ind w:firstLineChars="0" w:firstLine="0"/>
              <w:rPr>
                <w:rFonts w:ascii="宋体" w:hAnsi="宋体"/>
                <w:szCs w:val="21"/>
              </w:rPr>
            </w:pPr>
            <w:r>
              <w:rPr>
                <w:rFonts w:ascii="宋体" w:hAnsi="宋体" w:hint="eastAsia"/>
                <w:szCs w:val="21"/>
              </w:rPr>
              <w:t>10.5万元</w:t>
            </w:r>
          </w:p>
        </w:tc>
      </w:tr>
      <w:tr w:rsidR="004D1CDD">
        <w:trPr>
          <w:trHeight w:val="305"/>
        </w:trPr>
        <w:tc>
          <w:tcPr>
            <w:tcW w:w="710" w:type="dxa"/>
          </w:tcPr>
          <w:p w:rsidR="004D1CDD" w:rsidRDefault="00CA1590">
            <w:pPr>
              <w:pStyle w:val="a9"/>
              <w:ind w:firstLineChars="0" w:firstLine="0"/>
              <w:rPr>
                <w:rFonts w:ascii="宋体" w:hAnsi="宋体"/>
                <w:szCs w:val="21"/>
              </w:rPr>
            </w:pPr>
            <w:r>
              <w:rPr>
                <w:rFonts w:ascii="宋体" w:hAnsi="宋体" w:hint="eastAsia"/>
                <w:szCs w:val="21"/>
              </w:rPr>
              <w:t>3</w:t>
            </w:r>
          </w:p>
        </w:tc>
        <w:tc>
          <w:tcPr>
            <w:tcW w:w="1559" w:type="dxa"/>
          </w:tcPr>
          <w:p w:rsidR="004D1CDD" w:rsidRDefault="004D1CDD">
            <w:pPr>
              <w:pStyle w:val="a9"/>
              <w:ind w:firstLineChars="0" w:firstLine="0"/>
              <w:rPr>
                <w:szCs w:val="21"/>
              </w:rPr>
            </w:pPr>
            <w:r w:rsidRPr="00BA0DBC">
              <w:rPr>
                <w:rFonts w:hint="eastAsia"/>
                <w:szCs w:val="21"/>
              </w:rPr>
              <w:t>耳鼻</w:t>
            </w:r>
            <w:proofErr w:type="gramStart"/>
            <w:r w:rsidRPr="00BA0DBC">
              <w:rPr>
                <w:rFonts w:hint="eastAsia"/>
                <w:szCs w:val="21"/>
              </w:rPr>
              <w:t>喉</w:t>
            </w:r>
            <w:proofErr w:type="gramEnd"/>
            <w:r w:rsidRPr="00BA0DBC">
              <w:rPr>
                <w:rFonts w:hint="eastAsia"/>
                <w:szCs w:val="21"/>
              </w:rPr>
              <w:t>综合治疗台</w:t>
            </w:r>
          </w:p>
        </w:tc>
        <w:tc>
          <w:tcPr>
            <w:tcW w:w="992" w:type="dxa"/>
          </w:tcPr>
          <w:p w:rsidR="004D1CDD" w:rsidRDefault="004D1CDD">
            <w:pPr>
              <w:rPr>
                <w:rFonts w:ascii="宋体" w:hAnsi="宋体"/>
                <w:szCs w:val="21"/>
              </w:rPr>
            </w:pPr>
            <w:r>
              <w:rPr>
                <w:rFonts w:ascii="宋体" w:hAnsi="宋体" w:hint="eastAsia"/>
                <w:szCs w:val="21"/>
              </w:rPr>
              <w:t>2套</w:t>
            </w:r>
          </w:p>
        </w:tc>
        <w:tc>
          <w:tcPr>
            <w:tcW w:w="4536" w:type="dxa"/>
          </w:tcPr>
          <w:p w:rsidR="004D1CDD" w:rsidRPr="00BA0DBC" w:rsidRDefault="004D1CDD" w:rsidP="00BA0DBC">
            <w:pPr>
              <w:pStyle w:val="a9"/>
              <w:ind w:firstLineChars="0" w:firstLine="0"/>
              <w:rPr>
                <w:szCs w:val="21"/>
              </w:rPr>
            </w:pPr>
            <w:r w:rsidRPr="00BA0DBC">
              <w:rPr>
                <w:rFonts w:hint="eastAsia"/>
                <w:szCs w:val="21"/>
              </w:rPr>
              <w:t>一、整机结构</w:t>
            </w:r>
          </w:p>
          <w:p w:rsidR="004D1CDD" w:rsidRPr="00BA0DBC" w:rsidRDefault="004D1CDD" w:rsidP="00BA0DBC">
            <w:pPr>
              <w:pStyle w:val="a9"/>
              <w:ind w:firstLineChars="0" w:firstLine="0"/>
              <w:rPr>
                <w:szCs w:val="21"/>
              </w:rPr>
            </w:pPr>
            <w:r w:rsidRPr="00BA0DBC">
              <w:rPr>
                <w:rFonts w:hint="eastAsia"/>
                <w:szCs w:val="21"/>
              </w:rPr>
              <w:t>1.</w:t>
            </w:r>
            <w:r w:rsidRPr="00BA0DBC">
              <w:rPr>
                <w:rFonts w:hint="eastAsia"/>
                <w:szCs w:val="21"/>
              </w:rPr>
              <w:t>采用一体化或模块化紧凑设计。</w:t>
            </w:r>
          </w:p>
          <w:p w:rsidR="004D1CDD" w:rsidRPr="00BA0DBC" w:rsidRDefault="004D1CDD" w:rsidP="00BA0DBC">
            <w:pPr>
              <w:pStyle w:val="a9"/>
              <w:ind w:firstLineChars="0" w:firstLine="0"/>
              <w:rPr>
                <w:szCs w:val="21"/>
              </w:rPr>
            </w:pPr>
            <w:r w:rsidRPr="00BA0DBC">
              <w:rPr>
                <w:rFonts w:hint="eastAsia"/>
                <w:szCs w:val="21"/>
              </w:rPr>
              <w:t>2.</w:t>
            </w:r>
            <w:r w:rsidRPr="00BA0DBC">
              <w:rPr>
                <w:rFonts w:hint="eastAsia"/>
                <w:szCs w:val="21"/>
              </w:rPr>
              <w:t>台面：耐磨、耐腐蚀、不渗透、不粘油、高硬度、耐热、抗冲击、易清洁消毒。</w:t>
            </w:r>
          </w:p>
          <w:p w:rsidR="004D1CDD" w:rsidRPr="00BA0DBC" w:rsidRDefault="004D1CDD" w:rsidP="00BA0DBC">
            <w:pPr>
              <w:pStyle w:val="a9"/>
              <w:ind w:firstLineChars="0" w:firstLine="0"/>
              <w:rPr>
                <w:szCs w:val="21"/>
              </w:rPr>
            </w:pPr>
            <w:r w:rsidRPr="00BA0DBC">
              <w:rPr>
                <w:rFonts w:hint="eastAsia"/>
                <w:szCs w:val="21"/>
              </w:rPr>
              <w:t>3.</w:t>
            </w:r>
            <w:r w:rsidRPr="00BA0DBC">
              <w:rPr>
                <w:rFonts w:hint="eastAsia"/>
                <w:szCs w:val="21"/>
              </w:rPr>
              <w:t>底部配备带锁定装置的</w:t>
            </w:r>
            <w:proofErr w:type="gramStart"/>
            <w:r w:rsidRPr="00BA0DBC">
              <w:rPr>
                <w:rFonts w:hint="eastAsia"/>
                <w:szCs w:val="21"/>
              </w:rPr>
              <w:t>静音万向</w:t>
            </w:r>
            <w:proofErr w:type="gramEnd"/>
            <w:r w:rsidRPr="00BA0DBC">
              <w:rPr>
                <w:rFonts w:hint="eastAsia"/>
                <w:szCs w:val="21"/>
              </w:rPr>
              <w:t>轮</w:t>
            </w:r>
          </w:p>
          <w:p w:rsidR="004D1CDD" w:rsidRPr="00BA0DBC" w:rsidRDefault="004D1CDD" w:rsidP="00BA0DBC">
            <w:pPr>
              <w:pStyle w:val="a9"/>
              <w:ind w:firstLineChars="0" w:firstLine="0"/>
              <w:rPr>
                <w:szCs w:val="21"/>
              </w:rPr>
            </w:pPr>
            <w:r w:rsidRPr="00BA0DBC">
              <w:rPr>
                <w:rFonts w:hint="eastAsia"/>
                <w:szCs w:val="21"/>
              </w:rPr>
              <w:t>4.</w:t>
            </w:r>
            <w:r w:rsidRPr="00BA0DBC">
              <w:rPr>
                <w:rFonts w:hint="eastAsia"/>
                <w:szCs w:val="21"/>
              </w:rPr>
              <w:t>亮度：连续可调，最高亮度需满足深部腔道（如鼻咽部、喉部）照明需求。</w:t>
            </w:r>
          </w:p>
          <w:p w:rsidR="004D1CDD" w:rsidRPr="00BA0DBC" w:rsidRDefault="004D1CDD" w:rsidP="00BA0DBC">
            <w:pPr>
              <w:pStyle w:val="a9"/>
              <w:ind w:firstLineChars="0" w:firstLine="0"/>
              <w:rPr>
                <w:szCs w:val="21"/>
              </w:rPr>
            </w:pPr>
            <w:r w:rsidRPr="00BA0DBC">
              <w:rPr>
                <w:rFonts w:hint="eastAsia"/>
                <w:szCs w:val="21"/>
              </w:rPr>
              <w:t>5.</w:t>
            </w:r>
            <w:r w:rsidRPr="00BA0DBC">
              <w:rPr>
                <w:rFonts w:hint="eastAsia"/>
                <w:szCs w:val="21"/>
              </w:rPr>
              <w:t>光源配备即时热插拔</w:t>
            </w:r>
            <w:r w:rsidRPr="00BA0DBC">
              <w:rPr>
                <w:rFonts w:hint="eastAsia"/>
                <w:szCs w:val="21"/>
              </w:rPr>
              <w:t>LED</w:t>
            </w:r>
            <w:r w:rsidRPr="00BA0DBC">
              <w:rPr>
                <w:rFonts w:hint="eastAsia"/>
                <w:szCs w:val="21"/>
              </w:rPr>
              <w:t>模块，</w:t>
            </w:r>
            <w:r w:rsidRPr="00BA0DBC">
              <w:rPr>
                <w:rFonts w:hint="eastAsia"/>
                <w:szCs w:val="21"/>
              </w:rPr>
              <w:t>LED</w:t>
            </w:r>
            <w:r w:rsidRPr="00BA0DBC">
              <w:rPr>
                <w:rFonts w:hint="eastAsia"/>
                <w:szCs w:val="21"/>
              </w:rPr>
              <w:t>寿命≥</w:t>
            </w:r>
            <w:r w:rsidRPr="00BA0DBC">
              <w:rPr>
                <w:rFonts w:hint="eastAsia"/>
                <w:szCs w:val="21"/>
              </w:rPr>
              <w:t>50,000</w:t>
            </w:r>
            <w:r w:rsidRPr="00BA0DBC">
              <w:rPr>
                <w:rFonts w:hint="eastAsia"/>
                <w:szCs w:val="21"/>
              </w:rPr>
              <w:t>小时，易于更换。</w:t>
            </w:r>
          </w:p>
          <w:p w:rsidR="004D1CDD" w:rsidRPr="00BA0DBC" w:rsidRDefault="004D1CDD" w:rsidP="00BA0DBC">
            <w:pPr>
              <w:pStyle w:val="a9"/>
              <w:ind w:firstLineChars="0" w:firstLine="0"/>
              <w:rPr>
                <w:szCs w:val="21"/>
              </w:rPr>
            </w:pPr>
            <w:r w:rsidRPr="00BA0DBC">
              <w:rPr>
                <w:rFonts w:hint="eastAsia"/>
                <w:szCs w:val="21"/>
              </w:rPr>
              <w:t>二、负压吸引系统：</w:t>
            </w:r>
          </w:p>
          <w:p w:rsidR="004D1CDD" w:rsidRPr="00BA0DBC" w:rsidRDefault="004D1CDD" w:rsidP="00BA0DBC">
            <w:pPr>
              <w:pStyle w:val="a9"/>
              <w:ind w:firstLineChars="0" w:firstLine="0"/>
              <w:rPr>
                <w:szCs w:val="21"/>
              </w:rPr>
            </w:pPr>
            <w:r w:rsidRPr="00BA0DBC">
              <w:rPr>
                <w:rFonts w:hint="eastAsia"/>
                <w:szCs w:val="21"/>
              </w:rPr>
              <w:t>1.</w:t>
            </w:r>
            <w:r w:rsidRPr="00BA0DBC">
              <w:rPr>
                <w:rFonts w:hint="eastAsia"/>
                <w:szCs w:val="21"/>
              </w:rPr>
              <w:t>真空度：可调范围宽，最高真空度≥</w:t>
            </w:r>
            <w:r w:rsidRPr="00BA0DBC">
              <w:rPr>
                <w:rFonts w:hint="eastAsia"/>
                <w:szCs w:val="21"/>
              </w:rPr>
              <w:t>0.075MPa</w:t>
            </w:r>
            <w:r w:rsidRPr="00BA0DBC">
              <w:rPr>
                <w:rFonts w:hint="eastAsia"/>
                <w:szCs w:val="21"/>
              </w:rPr>
              <w:t>。</w:t>
            </w:r>
          </w:p>
          <w:p w:rsidR="004D1CDD" w:rsidRPr="00BA0DBC" w:rsidRDefault="004D1CDD" w:rsidP="00BA0DBC">
            <w:pPr>
              <w:pStyle w:val="a9"/>
              <w:ind w:firstLineChars="0" w:firstLine="0"/>
              <w:rPr>
                <w:szCs w:val="21"/>
              </w:rPr>
            </w:pPr>
            <w:r w:rsidRPr="00BA0DBC">
              <w:rPr>
                <w:rFonts w:hint="eastAsia"/>
                <w:szCs w:val="21"/>
              </w:rPr>
              <w:t>2.</w:t>
            </w:r>
            <w:r w:rsidRPr="00BA0DBC">
              <w:rPr>
                <w:rFonts w:hint="eastAsia"/>
                <w:szCs w:val="21"/>
              </w:rPr>
              <w:t>抽气速率：≥</w:t>
            </w:r>
            <w:r w:rsidRPr="00BA0DBC">
              <w:rPr>
                <w:rFonts w:hint="eastAsia"/>
                <w:szCs w:val="21"/>
              </w:rPr>
              <w:t>25 L/min</w:t>
            </w:r>
            <w:r w:rsidRPr="00BA0DBC">
              <w:rPr>
                <w:rFonts w:hint="eastAsia"/>
                <w:szCs w:val="21"/>
              </w:rPr>
              <w:t>。</w:t>
            </w:r>
          </w:p>
          <w:p w:rsidR="004D1CDD" w:rsidRPr="00BA0DBC" w:rsidRDefault="004D1CDD" w:rsidP="00BA0DBC">
            <w:pPr>
              <w:pStyle w:val="a9"/>
              <w:ind w:firstLineChars="0" w:firstLine="0"/>
              <w:rPr>
                <w:szCs w:val="21"/>
              </w:rPr>
            </w:pPr>
            <w:r w:rsidRPr="00BA0DBC">
              <w:rPr>
                <w:rFonts w:hint="eastAsia"/>
                <w:szCs w:val="21"/>
              </w:rPr>
              <w:t>3.</w:t>
            </w:r>
            <w:r w:rsidRPr="00BA0DBC">
              <w:rPr>
                <w:rFonts w:hint="eastAsia"/>
                <w:szCs w:val="21"/>
              </w:rPr>
              <w:t>负压调节：旋钮或按键式，精确易调。</w:t>
            </w:r>
          </w:p>
          <w:p w:rsidR="004D1CDD" w:rsidRPr="00BA0DBC" w:rsidRDefault="004D1CDD" w:rsidP="00BA0DBC">
            <w:pPr>
              <w:pStyle w:val="a9"/>
              <w:ind w:firstLineChars="0" w:firstLine="0"/>
              <w:rPr>
                <w:szCs w:val="21"/>
              </w:rPr>
            </w:pPr>
            <w:r w:rsidRPr="00BA0DBC">
              <w:rPr>
                <w:rFonts w:hint="eastAsia"/>
                <w:szCs w:val="21"/>
              </w:rPr>
              <w:t>4.</w:t>
            </w:r>
            <w:r w:rsidRPr="00BA0DBC">
              <w:rPr>
                <w:rFonts w:hint="eastAsia"/>
                <w:szCs w:val="21"/>
              </w:rPr>
              <w:t>储液瓶：透明、耐腐蚀，容积≥</w:t>
            </w:r>
            <w:r w:rsidRPr="00BA0DBC">
              <w:rPr>
                <w:rFonts w:hint="eastAsia"/>
                <w:szCs w:val="21"/>
              </w:rPr>
              <w:t>1000ml</w:t>
            </w:r>
            <w:r w:rsidRPr="00BA0DBC">
              <w:rPr>
                <w:rFonts w:hint="eastAsia"/>
                <w:szCs w:val="21"/>
              </w:rPr>
              <w:t>，</w:t>
            </w:r>
            <w:proofErr w:type="gramStart"/>
            <w:r w:rsidRPr="00BA0DBC">
              <w:rPr>
                <w:rFonts w:hint="eastAsia"/>
                <w:szCs w:val="21"/>
              </w:rPr>
              <w:t>带防溢流</w:t>
            </w:r>
            <w:proofErr w:type="gramEnd"/>
            <w:r w:rsidRPr="00BA0DBC">
              <w:rPr>
                <w:rFonts w:hint="eastAsia"/>
                <w:szCs w:val="21"/>
              </w:rPr>
              <w:t>保护装置，易于拆卸、清洗、消毒。</w:t>
            </w:r>
          </w:p>
          <w:p w:rsidR="004D1CDD" w:rsidRPr="00BA0DBC" w:rsidRDefault="004D1CDD" w:rsidP="00BA0DBC">
            <w:pPr>
              <w:pStyle w:val="a9"/>
              <w:ind w:firstLineChars="0" w:firstLine="0"/>
              <w:rPr>
                <w:szCs w:val="21"/>
              </w:rPr>
            </w:pPr>
            <w:r w:rsidRPr="00BA0DBC">
              <w:rPr>
                <w:rFonts w:hint="eastAsia"/>
                <w:szCs w:val="21"/>
              </w:rPr>
              <w:t>5.</w:t>
            </w:r>
            <w:r w:rsidRPr="00BA0DBC">
              <w:rPr>
                <w:rFonts w:hint="eastAsia"/>
                <w:szCs w:val="21"/>
              </w:rPr>
              <w:t>吸引管道：防逆流设计，管道系统无死角，易于清洁消毒。</w:t>
            </w:r>
          </w:p>
          <w:p w:rsidR="004D1CDD" w:rsidRPr="00BA0DBC" w:rsidRDefault="004D1CDD" w:rsidP="00BA0DBC">
            <w:pPr>
              <w:pStyle w:val="a9"/>
              <w:ind w:firstLineChars="0" w:firstLine="0"/>
              <w:rPr>
                <w:szCs w:val="21"/>
              </w:rPr>
            </w:pPr>
            <w:r w:rsidRPr="00BA0DBC">
              <w:rPr>
                <w:rFonts w:hint="eastAsia"/>
                <w:szCs w:val="21"/>
              </w:rPr>
              <w:t>三、喷雾系统：</w:t>
            </w:r>
          </w:p>
          <w:p w:rsidR="004D1CDD" w:rsidRPr="00BA0DBC" w:rsidRDefault="004D1CDD" w:rsidP="00BA0DBC">
            <w:pPr>
              <w:pStyle w:val="a9"/>
              <w:ind w:firstLineChars="0" w:firstLine="0"/>
              <w:rPr>
                <w:szCs w:val="21"/>
              </w:rPr>
            </w:pPr>
            <w:r w:rsidRPr="00BA0DBC">
              <w:rPr>
                <w:rFonts w:hint="eastAsia"/>
                <w:szCs w:val="21"/>
              </w:rPr>
              <w:t>1.</w:t>
            </w:r>
            <w:r w:rsidRPr="00BA0DBC">
              <w:rPr>
                <w:rFonts w:hint="eastAsia"/>
                <w:szCs w:val="21"/>
              </w:rPr>
              <w:t>医用压缩空气雾化（优选）或电动雾化。</w:t>
            </w:r>
          </w:p>
          <w:p w:rsidR="004D1CDD" w:rsidRPr="00BA0DBC" w:rsidRDefault="004D1CDD" w:rsidP="00BA0DBC">
            <w:pPr>
              <w:pStyle w:val="a9"/>
              <w:ind w:firstLineChars="0" w:firstLine="0"/>
              <w:rPr>
                <w:szCs w:val="21"/>
              </w:rPr>
            </w:pPr>
            <w:r w:rsidRPr="00BA0DBC">
              <w:rPr>
                <w:rFonts w:hint="eastAsia"/>
                <w:szCs w:val="21"/>
              </w:rPr>
              <w:t>2.</w:t>
            </w:r>
            <w:proofErr w:type="gramStart"/>
            <w:r w:rsidRPr="00BA0DBC">
              <w:rPr>
                <w:rFonts w:hint="eastAsia"/>
                <w:szCs w:val="21"/>
              </w:rPr>
              <w:t>药物杯</w:t>
            </w:r>
            <w:proofErr w:type="gramEnd"/>
            <w:r w:rsidRPr="00BA0DBC">
              <w:rPr>
                <w:rFonts w:hint="eastAsia"/>
                <w:szCs w:val="21"/>
              </w:rPr>
              <w:t>容量：≥</w:t>
            </w:r>
            <w:r w:rsidRPr="00BA0DBC">
              <w:rPr>
                <w:rFonts w:hint="eastAsia"/>
                <w:szCs w:val="21"/>
              </w:rPr>
              <w:t>10ml</w:t>
            </w:r>
            <w:r w:rsidRPr="00BA0DBC">
              <w:rPr>
                <w:rFonts w:hint="eastAsia"/>
                <w:szCs w:val="21"/>
              </w:rPr>
              <w:t>。</w:t>
            </w:r>
          </w:p>
          <w:p w:rsidR="004D1CDD" w:rsidRPr="00BA0DBC" w:rsidRDefault="004D1CDD" w:rsidP="00BA0DBC">
            <w:pPr>
              <w:pStyle w:val="a9"/>
              <w:ind w:firstLineChars="0" w:firstLine="0"/>
              <w:rPr>
                <w:szCs w:val="21"/>
              </w:rPr>
            </w:pPr>
            <w:r w:rsidRPr="00BA0DBC">
              <w:rPr>
                <w:rFonts w:hint="eastAsia"/>
                <w:szCs w:val="21"/>
              </w:rPr>
              <w:t>3.</w:t>
            </w:r>
            <w:r w:rsidRPr="00BA0DBC">
              <w:rPr>
                <w:rFonts w:hint="eastAsia"/>
                <w:szCs w:val="21"/>
              </w:rPr>
              <w:t>喷雾量及压力可调节。</w:t>
            </w:r>
          </w:p>
          <w:p w:rsidR="004D1CDD" w:rsidRPr="00BA0DBC" w:rsidRDefault="004D1CDD" w:rsidP="00BA0DBC">
            <w:pPr>
              <w:pStyle w:val="a9"/>
              <w:ind w:firstLineChars="0" w:firstLine="0"/>
              <w:rPr>
                <w:szCs w:val="21"/>
              </w:rPr>
            </w:pPr>
            <w:r w:rsidRPr="00BA0DBC">
              <w:rPr>
                <w:rFonts w:hint="eastAsia"/>
                <w:szCs w:val="21"/>
              </w:rPr>
              <w:t>4.</w:t>
            </w:r>
            <w:r w:rsidRPr="00BA0DBC">
              <w:rPr>
                <w:rFonts w:hint="eastAsia"/>
                <w:szCs w:val="21"/>
              </w:rPr>
              <w:t>喷雾头可拆卸，可高温高压消毒或提供一次性无菌喷雾头。</w:t>
            </w:r>
          </w:p>
          <w:p w:rsidR="004D1CDD" w:rsidRPr="00BA0DBC" w:rsidRDefault="004D1CDD" w:rsidP="00BA0DBC">
            <w:pPr>
              <w:pStyle w:val="a9"/>
              <w:ind w:firstLineChars="0" w:firstLine="0"/>
              <w:rPr>
                <w:szCs w:val="21"/>
              </w:rPr>
            </w:pPr>
            <w:r w:rsidRPr="00BA0DBC">
              <w:rPr>
                <w:rFonts w:hint="eastAsia"/>
                <w:szCs w:val="21"/>
              </w:rPr>
              <w:t>5.</w:t>
            </w:r>
            <w:r w:rsidRPr="00BA0DBC">
              <w:rPr>
                <w:rFonts w:hint="eastAsia"/>
                <w:szCs w:val="21"/>
              </w:rPr>
              <w:t>器械接口：提供标准接口，方便快速连接各类耳鼻喉科检查治疗器械（如枪状</w:t>
            </w:r>
            <w:proofErr w:type="gramStart"/>
            <w:r w:rsidRPr="00BA0DBC">
              <w:rPr>
                <w:rFonts w:hint="eastAsia"/>
                <w:szCs w:val="21"/>
              </w:rPr>
              <w:t>镊</w:t>
            </w:r>
            <w:proofErr w:type="gramEnd"/>
            <w:r w:rsidRPr="00BA0DBC">
              <w:rPr>
                <w:rFonts w:hint="eastAsia"/>
                <w:szCs w:val="21"/>
              </w:rPr>
              <w:t>、吸引管、喷头、活检钳、电凝笔等）。</w:t>
            </w:r>
          </w:p>
          <w:p w:rsidR="004D1CDD" w:rsidRPr="00BA0DBC" w:rsidRDefault="004D1CDD" w:rsidP="00BA0DBC">
            <w:pPr>
              <w:pStyle w:val="a9"/>
              <w:ind w:firstLineChars="0" w:firstLine="0"/>
              <w:rPr>
                <w:szCs w:val="21"/>
              </w:rPr>
            </w:pPr>
            <w:r w:rsidRPr="00BA0DBC">
              <w:rPr>
                <w:rFonts w:hint="eastAsia"/>
                <w:szCs w:val="21"/>
              </w:rPr>
              <w:t>6.</w:t>
            </w:r>
            <w:r w:rsidRPr="00BA0DBC">
              <w:rPr>
                <w:rFonts w:hint="eastAsia"/>
                <w:szCs w:val="21"/>
              </w:rPr>
              <w:t>器械挂架：配备稳固、易取放的器械挂架或放</w:t>
            </w:r>
            <w:r w:rsidRPr="00BA0DBC">
              <w:rPr>
                <w:rFonts w:hint="eastAsia"/>
                <w:szCs w:val="21"/>
              </w:rPr>
              <w:lastRenderedPageBreak/>
              <w:t>置架。</w:t>
            </w:r>
          </w:p>
          <w:p w:rsidR="004D1CDD" w:rsidRPr="00BA0DBC" w:rsidRDefault="004D1CDD" w:rsidP="00BA0DBC">
            <w:pPr>
              <w:pStyle w:val="a9"/>
              <w:ind w:firstLineChars="0" w:firstLine="0"/>
              <w:rPr>
                <w:szCs w:val="21"/>
              </w:rPr>
            </w:pPr>
            <w:r w:rsidRPr="00BA0DBC">
              <w:rPr>
                <w:rFonts w:hint="eastAsia"/>
                <w:szCs w:val="21"/>
              </w:rPr>
              <w:t>四、器械盘</w:t>
            </w:r>
            <w:r w:rsidRPr="00BA0DBC">
              <w:rPr>
                <w:rFonts w:hint="eastAsia"/>
                <w:szCs w:val="21"/>
              </w:rPr>
              <w:t>/</w:t>
            </w:r>
            <w:r w:rsidRPr="00BA0DBC">
              <w:rPr>
                <w:rFonts w:hint="eastAsia"/>
                <w:szCs w:val="21"/>
              </w:rPr>
              <w:t>工作台：</w:t>
            </w:r>
          </w:p>
          <w:p w:rsidR="004D1CDD" w:rsidRPr="00BA0DBC" w:rsidRDefault="004D1CDD" w:rsidP="00BA0DBC">
            <w:pPr>
              <w:pStyle w:val="a9"/>
              <w:ind w:firstLineChars="0" w:firstLine="0"/>
              <w:rPr>
                <w:szCs w:val="21"/>
              </w:rPr>
            </w:pPr>
            <w:r w:rsidRPr="00BA0DBC">
              <w:rPr>
                <w:rFonts w:hint="eastAsia"/>
                <w:szCs w:val="21"/>
              </w:rPr>
              <w:t>靠近医师操作侧，高度适中，材质耐腐蚀、易清洁，高度或角度可调，表面易于擦拭消毒。</w:t>
            </w:r>
          </w:p>
          <w:p w:rsidR="004D1CDD" w:rsidRPr="00BA0DBC" w:rsidRDefault="004D1CDD" w:rsidP="00BA0DBC">
            <w:pPr>
              <w:pStyle w:val="a9"/>
              <w:ind w:firstLineChars="0" w:firstLine="0"/>
              <w:rPr>
                <w:szCs w:val="21"/>
              </w:rPr>
            </w:pPr>
            <w:r w:rsidRPr="00BA0DBC">
              <w:rPr>
                <w:rFonts w:hint="eastAsia"/>
                <w:szCs w:val="21"/>
              </w:rPr>
              <w:t>五、配置要求：</w:t>
            </w:r>
          </w:p>
          <w:p w:rsidR="004D1CDD" w:rsidRPr="00BA0DBC" w:rsidRDefault="004D1CDD" w:rsidP="00BA0DBC">
            <w:pPr>
              <w:pStyle w:val="a9"/>
              <w:ind w:firstLineChars="0" w:firstLine="0"/>
              <w:rPr>
                <w:szCs w:val="21"/>
              </w:rPr>
            </w:pPr>
            <w:r w:rsidRPr="00BA0DBC">
              <w:rPr>
                <w:rFonts w:hint="eastAsia"/>
                <w:szCs w:val="21"/>
              </w:rPr>
              <w:t>主机单元</w:t>
            </w:r>
            <w:r w:rsidRPr="00BA0DBC">
              <w:rPr>
                <w:rFonts w:hint="eastAsia"/>
                <w:szCs w:val="21"/>
              </w:rPr>
              <w:t>1</w:t>
            </w:r>
            <w:r w:rsidRPr="00BA0DBC">
              <w:rPr>
                <w:rFonts w:hint="eastAsia"/>
                <w:szCs w:val="21"/>
              </w:rPr>
              <w:t>套、电动升降诊疗</w:t>
            </w:r>
            <w:proofErr w:type="gramStart"/>
            <w:r w:rsidRPr="00BA0DBC">
              <w:rPr>
                <w:rFonts w:hint="eastAsia"/>
                <w:szCs w:val="21"/>
              </w:rPr>
              <w:t>椅</w:t>
            </w:r>
            <w:proofErr w:type="gramEnd"/>
            <w:r w:rsidRPr="00BA0DBC">
              <w:rPr>
                <w:rFonts w:hint="eastAsia"/>
                <w:szCs w:val="21"/>
              </w:rPr>
              <w:t>1</w:t>
            </w:r>
            <w:r w:rsidRPr="00BA0DBC">
              <w:rPr>
                <w:rFonts w:hint="eastAsia"/>
                <w:szCs w:val="21"/>
              </w:rPr>
              <w:t>把、器械盘</w:t>
            </w:r>
            <w:r w:rsidRPr="00BA0DBC">
              <w:rPr>
                <w:rFonts w:hint="eastAsia"/>
                <w:szCs w:val="21"/>
              </w:rPr>
              <w:t>/</w:t>
            </w:r>
            <w:r w:rsidRPr="00BA0DBC">
              <w:rPr>
                <w:rFonts w:hint="eastAsia"/>
                <w:szCs w:val="21"/>
              </w:rPr>
              <w:t>工作台</w:t>
            </w:r>
            <w:r w:rsidRPr="00BA0DBC">
              <w:rPr>
                <w:rFonts w:hint="eastAsia"/>
                <w:szCs w:val="21"/>
              </w:rPr>
              <w:t>1</w:t>
            </w:r>
            <w:r w:rsidRPr="00BA0DBC">
              <w:rPr>
                <w:rFonts w:hint="eastAsia"/>
                <w:szCs w:val="21"/>
              </w:rPr>
              <w:t>个、标准附件包</w:t>
            </w:r>
            <w:r w:rsidRPr="00BA0DBC">
              <w:rPr>
                <w:rFonts w:hint="eastAsia"/>
                <w:szCs w:val="21"/>
              </w:rPr>
              <w:t>1</w:t>
            </w:r>
            <w:r w:rsidRPr="00BA0DBC">
              <w:rPr>
                <w:rFonts w:hint="eastAsia"/>
                <w:szCs w:val="21"/>
              </w:rPr>
              <w:t>套：冷光源导光束：≥</w:t>
            </w:r>
            <w:r w:rsidRPr="00BA0DBC">
              <w:rPr>
                <w:rFonts w:hint="eastAsia"/>
                <w:szCs w:val="21"/>
              </w:rPr>
              <w:t>1</w:t>
            </w:r>
            <w:r w:rsidRPr="00BA0DBC">
              <w:rPr>
                <w:rFonts w:hint="eastAsia"/>
                <w:szCs w:val="21"/>
              </w:rPr>
              <w:t>条、负压吸引瓶：≥</w:t>
            </w:r>
            <w:r w:rsidRPr="00BA0DBC">
              <w:rPr>
                <w:rFonts w:hint="eastAsia"/>
                <w:szCs w:val="21"/>
              </w:rPr>
              <w:t>1</w:t>
            </w:r>
            <w:r w:rsidRPr="00BA0DBC">
              <w:rPr>
                <w:rFonts w:hint="eastAsia"/>
                <w:szCs w:val="21"/>
              </w:rPr>
              <w:t>个、吸引管（手柄</w:t>
            </w:r>
            <w:r w:rsidRPr="00BA0DBC">
              <w:rPr>
                <w:rFonts w:hint="eastAsia"/>
                <w:szCs w:val="21"/>
              </w:rPr>
              <w:t>+</w:t>
            </w:r>
            <w:r w:rsidRPr="00BA0DBC">
              <w:rPr>
                <w:rFonts w:hint="eastAsia"/>
                <w:szCs w:val="21"/>
              </w:rPr>
              <w:t>软管）：≥</w:t>
            </w:r>
            <w:r w:rsidRPr="00BA0DBC">
              <w:rPr>
                <w:rFonts w:hint="eastAsia"/>
                <w:szCs w:val="21"/>
              </w:rPr>
              <w:t>1</w:t>
            </w:r>
            <w:r w:rsidRPr="00BA0DBC">
              <w:rPr>
                <w:rFonts w:hint="eastAsia"/>
                <w:szCs w:val="21"/>
              </w:rPr>
              <w:t>套、喷雾头：≥</w:t>
            </w:r>
            <w:r w:rsidRPr="00BA0DBC">
              <w:rPr>
                <w:rFonts w:hint="eastAsia"/>
                <w:szCs w:val="21"/>
              </w:rPr>
              <w:t>1</w:t>
            </w:r>
            <w:r w:rsidRPr="00BA0DBC">
              <w:rPr>
                <w:rFonts w:hint="eastAsia"/>
                <w:szCs w:val="21"/>
              </w:rPr>
              <w:t>个、喷雾用连接管：≥</w:t>
            </w:r>
            <w:r w:rsidRPr="00BA0DBC">
              <w:rPr>
                <w:rFonts w:hint="eastAsia"/>
                <w:szCs w:val="21"/>
              </w:rPr>
              <w:t>1</w:t>
            </w:r>
            <w:r w:rsidRPr="00BA0DBC">
              <w:rPr>
                <w:rFonts w:hint="eastAsia"/>
                <w:szCs w:val="21"/>
              </w:rPr>
              <w:t>条、器械挂架：</w:t>
            </w:r>
            <w:r w:rsidRPr="00BA0DBC">
              <w:rPr>
                <w:rFonts w:hint="eastAsia"/>
                <w:szCs w:val="21"/>
              </w:rPr>
              <w:t>1</w:t>
            </w:r>
            <w:r w:rsidRPr="00BA0DBC">
              <w:rPr>
                <w:rFonts w:hint="eastAsia"/>
                <w:szCs w:val="21"/>
              </w:rPr>
              <w:t>套。</w:t>
            </w:r>
            <w:r w:rsidRPr="00BA0DBC">
              <w:rPr>
                <w:rFonts w:hint="eastAsia"/>
                <w:b/>
                <w:szCs w:val="21"/>
                <w:u w:val="single"/>
              </w:rPr>
              <w:t>其中一套需增配内窥镜系统。</w:t>
            </w:r>
          </w:p>
          <w:p w:rsidR="004D1CDD" w:rsidRPr="00BA0DBC" w:rsidRDefault="004D1CDD" w:rsidP="00BA0DBC">
            <w:pPr>
              <w:rPr>
                <w:szCs w:val="21"/>
              </w:rPr>
            </w:pPr>
            <w:r w:rsidRPr="00BA0DBC">
              <w:rPr>
                <w:rFonts w:hint="eastAsia"/>
                <w:szCs w:val="21"/>
              </w:rPr>
              <w:t>六、保修不小于</w:t>
            </w:r>
            <w:r w:rsidRPr="00BA0DBC">
              <w:rPr>
                <w:rFonts w:hint="eastAsia"/>
                <w:szCs w:val="21"/>
              </w:rPr>
              <w:t>5</w:t>
            </w:r>
            <w:r w:rsidRPr="00BA0DBC">
              <w:rPr>
                <w:rFonts w:hint="eastAsia"/>
                <w:szCs w:val="21"/>
              </w:rPr>
              <w:t>年。</w:t>
            </w:r>
          </w:p>
        </w:tc>
        <w:tc>
          <w:tcPr>
            <w:tcW w:w="1134" w:type="dxa"/>
          </w:tcPr>
          <w:p w:rsidR="004D1CDD" w:rsidRDefault="004D1CDD">
            <w:pPr>
              <w:pStyle w:val="a9"/>
              <w:ind w:firstLineChars="0" w:firstLine="0"/>
              <w:rPr>
                <w:rFonts w:ascii="宋体" w:hAnsi="宋体"/>
                <w:szCs w:val="21"/>
              </w:rPr>
            </w:pPr>
            <w:r>
              <w:rPr>
                <w:rFonts w:ascii="宋体" w:hAnsi="宋体" w:hint="eastAsia"/>
                <w:szCs w:val="21"/>
              </w:rPr>
              <w:lastRenderedPageBreak/>
              <w:t>14万</w:t>
            </w:r>
          </w:p>
        </w:tc>
      </w:tr>
      <w:tr w:rsidR="004D1CDD">
        <w:trPr>
          <w:trHeight w:val="305"/>
        </w:trPr>
        <w:tc>
          <w:tcPr>
            <w:tcW w:w="710" w:type="dxa"/>
          </w:tcPr>
          <w:p w:rsidR="004D1CDD" w:rsidRDefault="00CA1590">
            <w:pPr>
              <w:pStyle w:val="a9"/>
              <w:ind w:firstLineChars="0" w:firstLine="0"/>
              <w:rPr>
                <w:rFonts w:ascii="宋体" w:hAnsi="宋体"/>
                <w:szCs w:val="21"/>
              </w:rPr>
            </w:pPr>
            <w:r>
              <w:rPr>
                <w:rFonts w:ascii="宋体" w:hAnsi="宋体" w:hint="eastAsia"/>
                <w:szCs w:val="21"/>
              </w:rPr>
              <w:lastRenderedPageBreak/>
              <w:t>4</w:t>
            </w:r>
          </w:p>
        </w:tc>
        <w:tc>
          <w:tcPr>
            <w:tcW w:w="1559" w:type="dxa"/>
          </w:tcPr>
          <w:p w:rsidR="004D1CDD" w:rsidRPr="00BA0DBC" w:rsidRDefault="004D1CDD">
            <w:pPr>
              <w:pStyle w:val="a9"/>
              <w:ind w:firstLineChars="0" w:firstLine="0"/>
              <w:rPr>
                <w:szCs w:val="21"/>
              </w:rPr>
            </w:pPr>
            <w:r>
              <w:rPr>
                <w:rFonts w:hint="eastAsia"/>
                <w:szCs w:val="21"/>
              </w:rPr>
              <w:t>医用</w:t>
            </w:r>
            <w:r w:rsidR="00F97A74">
              <w:rPr>
                <w:rFonts w:hint="eastAsia"/>
                <w:szCs w:val="21"/>
              </w:rPr>
              <w:t>冷藏</w:t>
            </w:r>
            <w:r>
              <w:rPr>
                <w:rFonts w:hint="eastAsia"/>
                <w:szCs w:val="21"/>
              </w:rPr>
              <w:t>箱</w:t>
            </w:r>
          </w:p>
        </w:tc>
        <w:tc>
          <w:tcPr>
            <w:tcW w:w="992" w:type="dxa"/>
          </w:tcPr>
          <w:p w:rsidR="004D1CDD" w:rsidRDefault="004D1CDD">
            <w:pPr>
              <w:rPr>
                <w:rFonts w:ascii="宋体" w:hAnsi="宋体"/>
                <w:szCs w:val="21"/>
              </w:rPr>
            </w:pPr>
            <w:r>
              <w:rPr>
                <w:rFonts w:ascii="宋体" w:hAnsi="宋体" w:hint="eastAsia"/>
                <w:szCs w:val="21"/>
              </w:rPr>
              <w:t>6台</w:t>
            </w:r>
          </w:p>
        </w:tc>
        <w:tc>
          <w:tcPr>
            <w:tcW w:w="4536" w:type="dxa"/>
          </w:tcPr>
          <w:p w:rsidR="004D1CDD" w:rsidRDefault="004D1CDD" w:rsidP="00BA0DBC">
            <w:pPr>
              <w:pStyle w:val="a9"/>
              <w:ind w:firstLineChars="0" w:firstLine="0"/>
              <w:rPr>
                <w:szCs w:val="21"/>
              </w:rPr>
            </w:pPr>
            <w:r>
              <w:rPr>
                <w:rFonts w:hint="eastAsia"/>
                <w:szCs w:val="21"/>
              </w:rPr>
              <w:t>温度范围：</w:t>
            </w:r>
            <w:r>
              <w:rPr>
                <w:rFonts w:hint="eastAsia"/>
                <w:szCs w:val="21"/>
              </w:rPr>
              <w:t xml:space="preserve">2-8 </w:t>
            </w:r>
            <w:r>
              <w:rPr>
                <w:rFonts w:hint="eastAsia"/>
                <w:szCs w:val="21"/>
              </w:rPr>
              <w:t>摄氏度</w:t>
            </w:r>
          </w:p>
          <w:p w:rsidR="004D1CDD" w:rsidRPr="00BA0DBC" w:rsidRDefault="004D1CDD" w:rsidP="00C05BFF">
            <w:pPr>
              <w:pStyle w:val="a9"/>
              <w:ind w:firstLineChars="0" w:firstLine="0"/>
              <w:rPr>
                <w:szCs w:val="21"/>
              </w:rPr>
            </w:pPr>
            <w:r>
              <w:rPr>
                <w:rFonts w:hint="eastAsia"/>
                <w:szCs w:val="21"/>
              </w:rPr>
              <w:t>容积：</w:t>
            </w:r>
            <w:r>
              <w:rPr>
                <w:rFonts w:hint="eastAsia"/>
                <w:szCs w:val="21"/>
              </w:rPr>
              <w:t>50-100L</w:t>
            </w:r>
          </w:p>
        </w:tc>
        <w:tc>
          <w:tcPr>
            <w:tcW w:w="1134" w:type="dxa"/>
          </w:tcPr>
          <w:p w:rsidR="004D1CDD" w:rsidRDefault="004D1CDD">
            <w:pPr>
              <w:pStyle w:val="a9"/>
              <w:ind w:firstLineChars="0" w:firstLine="0"/>
              <w:rPr>
                <w:rFonts w:ascii="宋体" w:hAnsi="宋体"/>
                <w:szCs w:val="21"/>
              </w:rPr>
            </w:pPr>
            <w:r>
              <w:rPr>
                <w:rFonts w:ascii="宋体" w:hAnsi="宋体" w:hint="eastAsia"/>
                <w:szCs w:val="21"/>
              </w:rPr>
              <w:t>2万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AA4270">
        <w:rPr>
          <w:rFonts w:ascii="宋体" w:hAnsi="宋体" w:cs="宋体" w:hint="eastAsia"/>
          <w:kern w:val="0"/>
          <w:sz w:val="24"/>
          <w:szCs w:val="24"/>
        </w:rPr>
        <w:t>3</w:t>
      </w:r>
      <w:r>
        <w:rPr>
          <w:rFonts w:ascii="宋体" w:hAnsi="宋体" w:cs="宋体"/>
          <w:kern w:val="0"/>
          <w:sz w:val="24"/>
          <w:szCs w:val="24"/>
        </w:rPr>
        <w:t>月</w:t>
      </w:r>
      <w:r w:rsidR="00AA4270">
        <w:rPr>
          <w:rFonts w:ascii="宋体" w:hAnsi="宋体" w:cs="宋体" w:hint="eastAsia"/>
          <w:kern w:val="0"/>
          <w:sz w:val="24"/>
          <w:szCs w:val="24"/>
        </w:rPr>
        <w:t>5</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AA4270">
        <w:rPr>
          <w:rFonts w:ascii="宋体" w:hAnsi="宋体" w:cs="宋体" w:hint="eastAsia"/>
          <w:kern w:val="0"/>
          <w:sz w:val="24"/>
          <w:szCs w:val="24"/>
        </w:rPr>
        <w:t>3</w:t>
      </w:r>
      <w:r>
        <w:rPr>
          <w:rFonts w:ascii="宋体" w:hAnsi="宋体" w:cs="宋体"/>
          <w:kern w:val="0"/>
          <w:sz w:val="24"/>
          <w:szCs w:val="24"/>
        </w:rPr>
        <w:t>月</w:t>
      </w:r>
      <w:r w:rsidR="00AA4270">
        <w:rPr>
          <w:rFonts w:ascii="宋体" w:hAnsi="宋体" w:cs="宋体" w:hint="eastAsia"/>
          <w:kern w:val="0"/>
          <w:sz w:val="24"/>
          <w:szCs w:val="24"/>
        </w:rPr>
        <w:t>6</w:t>
      </w:r>
      <w:r>
        <w:rPr>
          <w:rFonts w:ascii="宋体" w:hAnsi="宋体" w:cs="宋体"/>
          <w:kern w:val="0"/>
          <w:sz w:val="24"/>
          <w:szCs w:val="24"/>
        </w:rPr>
        <w:t>日</w:t>
      </w:r>
      <w:r w:rsidR="00A14A09">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AA4270">
        <w:rPr>
          <w:rFonts w:ascii="宋体" w:hAnsi="宋体" w:cs="宋体" w:hint="eastAsia"/>
          <w:kern w:val="0"/>
          <w:sz w:val="24"/>
          <w:szCs w:val="24"/>
        </w:rPr>
        <w:t>2</w:t>
      </w:r>
      <w:r>
        <w:rPr>
          <w:rFonts w:ascii="宋体" w:hAnsi="宋体" w:cs="宋体"/>
          <w:kern w:val="0"/>
          <w:sz w:val="24"/>
          <w:szCs w:val="24"/>
        </w:rPr>
        <w:t>月</w:t>
      </w:r>
      <w:r>
        <w:rPr>
          <w:rFonts w:ascii="宋体" w:hAnsi="宋体" w:cs="宋体" w:hint="eastAsia"/>
          <w:kern w:val="0"/>
          <w:sz w:val="24"/>
          <w:szCs w:val="24"/>
        </w:rPr>
        <w:t>2</w:t>
      </w:r>
      <w:r w:rsidR="00AA4270">
        <w:rPr>
          <w:rFonts w:ascii="宋体" w:hAnsi="宋体" w:cs="宋体" w:hint="eastAsia"/>
          <w:kern w:val="0"/>
          <w:sz w:val="24"/>
          <w:szCs w:val="24"/>
        </w:rPr>
        <w:t>5</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3048"/>
    <w:rsid w:val="000E521B"/>
    <w:rsid w:val="000F26BC"/>
    <w:rsid w:val="000F2E65"/>
    <w:rsid w:val="000F34B4"/>
    <w:rsid w:val="000F49A9"/>
    <w:rsid w:val="00102CD2"/>
    <w:rsid w:val="00112AED"/>
    <w:rsid w:val="00113BF2"/>
    <w:rsid w:val="00117A41"/>
    <w:rsid w:val="00120A41"/>
    <w:rsid w:val="00125076"/>
    <w:rsid w:val="001251C9"/>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65BED"/>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488"/>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8A1"/>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4270"/>
    <w:rsid w:val="00AA798A"/>
    <w:rsid w:val="00AB33C0"/>
    <w:rsid w:val="00AC014E"/>
    <w:rsid w:val="00AC01BA"/>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74F1B"/>
    <w:rsid w:val="00B92679"/>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1590"/>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4084"/>
    <w:rsid w:val="00F66818"/>
    <w:rsid w:val="00F671CA"/>
    <w:rsid w:val="00F675E6"/>
    <w:rsid w:val="00F70953"/>
    <w:rsid w:val="00F76850"/>
    <w:rsid w:val="00F80087"/>
    <w:rsid w:val="00F81FB6"/>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5</cp:revision>
  <dcterms:created xsi:type="dcterms:W3CDTF">2026-02-25T05:38:00Z</dcterms:created>
  <dcterms:modified xsi:type="dcterms:W3CDTF">2026-02-25T06:12:00Z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