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9534BD" w:rsidRPr="009534BD">
        <w:rPr>
          <w:rFonts w:hint="eastAsia"/>
          <w:b/>
          <w:sz w:val="30"/>
          <w:szCs w:val="30"/>
        </w:rPr>
        <w:t>掌式</w:t>
      </w:r>
      <w:r w:rsidR="009534BD" w:rsidRPr="009534BD">
        <w:rPr>
          <w:rFonts w:hint="eastAsia"/>
          <w:b/>
          <w:sz w:val="30"/>
          <w:szCs w:val="30"/>
        </w:rPr>
        <w:t>B</w:t>
      </w:r>
      <w:r w:rsidR="009534BD" w:rsidRPr="009534BD">
        <w:rPr>
          <w:rFonts w:hint="eastAsia"/>
          <w:b/>
          <w:sz w:val="30"/>
          <w:szCs w:val="30"/>
        </w:rPr>
        <w:t>超机</w:t>
      </w:r>
      <w:r w:rsidRPr="00837A61">
        <w:rPr>
          <w:rFonts w:hint="eastAsia"/>
          <w:b/>
          <w:sz w:val="30"/>
          <w:szCs w:val="30"/>
        </w:rPr>
        <w:t>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9534BD" w:rsidTr="00CF3357">
        <w:trPr>
          <w:trHeight w:val="347"/>
        </w:trPr>
        <w:tc>
          <w:tcPr>
            <w:tcW w:w="710" w:type="dxa"/>
            <w:tcBorders>
              <w:bottom w:val="single" w:sz="4" w:space="0" w:color="auto"/>
            </w:tcBorders>
          </w:tcPr>
          <w:p w:rsidR="009534BD" w:rsidRDefault="009534BD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534BD" w:rsidRPr="005F25AA" w:rsidRDefault="009534BD" w:rsidP="006606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掌式B超机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4BD" w:rsidRPr="005F25AA" w:rsidRDefault="009534BD" w:rsidP="006606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110" w:type="dxa"/>
          </w:tcPr>
          <w:p w:rsidR="009534BD" w:rsidRPr="007742D9" w:rsidRDefault="009534BD" w:rsidP="0066066B">
            <w:r>
              <w:rPr>
                <w:rFonts w:hint="eastAsia"/>
              </w:rPr>
              <w:t>用于临床</w:t>
            </w:r>
            <w:r>
              <w:rPr>
                <w:rFonts w:hint="eastAsia"/>
              </w:rPr>
              <w:t>PICC</w:t>
            </w:r>
            <w:r>
              <w:rPr>
                <w:rFonts w:hint="eastAsia"/>
              </w:rPr>
              <w:t>置管辅助定位。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4BD" w:rsidRPr="00D73D21" w:rsidRDefault="009534BD" w:rsidP="006606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3万</w:t>
            </w:r>
          </w:p>
        </w:tc>
      </w:tr>
      <w:tr w:rsidR="009534BD" w:rsidTr="00CF3357">
        <w:trPr>
          <w:trHeight w:val="422"/>
        </w:trPr>
        <w:tc>
          <w:tcPr>
            <w:tcW w:w="710" w:type="dxa"/>
            <w:tcBorders>
              <w:bottom w:val="single" w:sz="4" w:space="0" w:color="auto"/>
            </w:tcBorders>
          </w:tcPr>
          <w:p w:rsidR="009534BD" w:rsidRDefault="009534BD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534BD" w:rsidRPr="00CF3357" w:rsidRDefault="009534BD" w:rsidP="008F2141">
            <w:pPr>
              <w:pStyle w:val="a5"/>
              <w:ind w:firstLineChars="0" w:firstLine="0"/>
            </w:pPr>
            <w:r w:rsidRPr="00CF3357">
              <w:rPr>
                <w:rFonts w:hint="eastAsia"/>
              </w:rPr>
              <w:t>放射防护用品一批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4BD" w:rsidRPr="003B4B5F" w:rsidRDefault="009534BD" w:rsidP="008F21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4110" w:type="dxa"/>
          </w:tcPr>
          <w:p w:rsidR="009534BD" w:rsidRDefault="009534BD" w:rsidP="008F2141">
            <w:pPr>
              <w:ind w:left="34"/>
            </w:pPr>
            <w:r>
              <w:rPr>
                <w:rFonts w:hint="eastAsia"/>
              </w:rPr>
              <w:t>可升降防护屏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台，用于</w:t>
            </w:r>
            <w:r>
              <w:rPr>
                <w:rFonts w:hint="eastAsia"/>
              </w:rPr>
              <w:t>DR</w:t>
            </w:r>
            <w:r>
              <w:rPr>
                <w:rFonts w:hint="eastAsia"/>
              </w:rPr>
              <w:t>拍片。</w:t>
            </w:r>
          </w:p>
          <w:p w:rsidR="009534BD" w:rsidRPr="00823020" w:rsidRDefault="009534BD" w:rsidP="008F2141">
            <w:pPr>
              <w:ind w:left="34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hint="eastAsia"/>
              </w:rPr>
              <w:t>铅衣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套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34BD" w:rsidRDefault="009534BD" w:rsidP="008F214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5万</w:t>
            </w:r>
          </w:p>
        </w:tc>
      </w:tr>
      <w:tr w:rsidR="009534BD" w:rsidTr="00CA667D">
        <w:trPr>
          <w:trHeight w:val="1056"/>
        </w:trPr>
        <w:tc>
          <w:tcPr>
            <w:tcW w:w="710" w:type="dxa"/>
          </w:tcPr>
          <w:p w:rsidR="009534BD" w:rsidRDefault="009534BD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</w:tcPr>
          <w:p w:rsidR="009534BD" w:rsidRPr="00CF3357" w:rsidRDefault="009534BD" w:rsidP="00991DE2">
            <w:pPr>
              <w:pStyle w:val="a5"/>
              <w:ind w:firstLineChars="0" w:firstLine="0"/>
            </w:pPr>
            <w:r w:rsidRPr="00CF3357">
              <w:rPr>
                <w:rFonts w:hint="eastAsia"/>
              </w:rPr>
              <w:t>体外胃动力治疗仪</w:t>
            </w:r>
          </w:p>
        </w:tc>
        <w:tc>
          <w:tcPr>
            <w:tcW w:w="992" w:type="dxa"/>
          </w:tcPr>
          <w:p w:rsidR="009534BD" w:rsidRDefault="009534BD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4110" w:type="dxa"/>
          </w:tcPr>
          <w:p w:rsidR="009534BD" w:rsidRPr="00282953" w:rsidRDefault="009534BD" w:rsidP="00C17CA8">
            <w:pPr>
              <w:rPr>
                <w:rFonts w:ascii="宋体" w:hAnsi="宋体"/>
                <w:sz w:val="18"/>
                <w:szCs w:val="18"/>
              </w:rPr>
            </w:pPr>
            <w:r w:rsidRPr="009534BD">
              <w:rPr>
                <w:rFonts w:hint="eastAsia"/>
              </w:rPr>
              <w:t>用于胃肠动力障碍性疾病、功能性胃肠疾病的治疗与改善。如：功能性消化不良、肠易激综合征、胃食管反流病、糖尿病胃轻瘫、功能性便秘等。</w:t>
            </w:r>
          </w:p>
        </w:tc>
        <w:tc>
          <w:tcPr>
            <w:tcW w:w="1134" w:type="dxa"/>
          </w:tcPr>
          <w:p w:rsidR="009534BD" w:rsidRPr="00D73D21" w:rsidRDefault="009534BD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1.98万</w:t>
            </w:r>
          </w:p>
        </w:tc>
      </w:tr>
      <w:tr w:rsidR="00CA667D" w:rsidTr="00CA667D">
        <w:trPr>
          <w:trHeight w:val="662"/>
        </w:trPr>
        <w:tc>
          <w:tcPr>
            <w:tcW w:w="710" w:type="dxa"/>
            <w:tcBorders>
              <w:bottom w:val="single" w:sz="4" w:space="0" w:color="auto"/>
            </w:tcBorders>
          </w:tcPr>
          <w:p w:rsidR="00CA667D" w:rsidRDefault="00CA667D" w:rsidP="00DC3AC4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667D" w:rsidRPr="00CF3357" w:rsidRDefault="00CA667D" w:rsidP="00991DE2">
            <w:pPr>
              <w:pStyle w:val="a5"/>
              <w:ind w:firstLineChars="0" w:firstLine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移液枪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667D" w:rsidRDefault="00CA667D" w:rsidP="00DC3AC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8套</w:t>
            </w:r>
          </w:p>
        </w:tc>
        <w:tc>
          <w:tcPr>
            <w:tcW w:w="4110" w:type="dxa"/>
          </w:tcPr>
          <w:p w:rsidR="00CA667D" w:rsidRPr="009534BD" w:rsidRDefault="00CA667D" w:rsidP="00C17CA8">
            <w:pPr>
              <w:rPr>
                <w:rFonts w:hint="eastAsia"/>
              </w:rPr>
            </w:pPr>
            <w:r>
              <w:rPr>
                <w:rFonts w:hint="eastAsia"/>
              </w:rPr>
              <w:t>每套包含：</w:t>
            </w:r>
            <w:r>
              <w:rPr>
                <w:rFonts w:hint="eastAsia"/>
              </w:rPr>
              <w:t>2.5ul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10ul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20ul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100ul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200ul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1000ul</w:t>
            </w:r>
            <w:r>
              <w:rPr>
                <w:rFonts w:hint="eastAsia"/>
              </w:rPr>
              <w:t>量程各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支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67D" w:rsidRDefault="00CA667D" w:rsidP="00D80228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9534BD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211BA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9534BD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211BAE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9534BD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9534BD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9534BD" w:rsidRDefault="009534BD">
      <w:pPr>
        <w:widowControl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lastRenderedPageBreak/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6649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11BAE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1478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0928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34BD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1DE2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2498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17CA8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A667D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CF335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2025-10-29T23:54:00Z</dcterms:created>
  <dcterms:modified xsi:type="dcterms:W3CDTF">2025-10-30T03:58:00Z</dcterms:modified>
</cp:coreProperties>
</file>