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9F6871" w:rsidRDefault="00837A61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r>
        <w:rPr>
          <w:rFonts w:hint="eastAsia"/>
          <w:b/>
          <w:sz w:val="30"/>
          <w:szCs w:val="30"/>
        </w:rPr>
        <w:t>宁波大学附属人民医院</w:t>
      </w:r>
      <w:r w:rsidR="00F96010">
        <w:rPr>
          <w:rFonts w:hint="eastAsia"/>
          <w:b/>
          <w:sz w:val="30"/>
          <w:szCs w:val="30"/>
        </w:rPr>
        <w:t>酶标仪</w:t>
      </w:r>
      <w:r w:rsidRPr="00837A61">
        <w:rPr>
          <w:rFonts w:hint="eastAsia"/>
          <w:b/>
          <w:sz w:val="30"/>
          <w:szCs w:val="30"/>
        </w:rPr>
        <w:t>等部分医疗设备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0" w:type="dxa"/>
        <w:tblInd w:w="-176" w:type="dxa"/>
        <w:tblLook w:val="04A0"/>
      </w:tblPr>
      <w:tblGrid>
        <w:gridCol w:w="710"/>
        <w:gridCol w:w="1984"/>
        <w:gridCol w:w="992"/>
        <w:gridCol w:w="4110"/>
        <w:gridCol w:w="1134"/>
      </w:tblGrid>
      <w:tr w:rsidR="00E77C08" w:rsidRPr="00FF713D" w:rsidTr="00823020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B0629" w:rsidTr="00823020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6B0629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40F5" w:rsidRDefault="00F96010" w:rsidP="006440F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酶标仪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0629" w:rsidRPr="003B4B5F" w:rsidRDefault="00EA1182" w:rsidP="00F960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AD1049">
              <w:rPr>
                <w:rFonts w:hint="eastAsia"/>
              </w:rPr>
              <w:t>台</w:t>
            </w:r>
          </w:p>
        </w:tc>
        <w:tc>
          <w:tcPr>
            <w:tcW w:w="4110" w:type="dxa"/>
          </w:tcPr>
          <w:p w:rsidR="008B1451" w:rsidRPr="008B1451" w:rsidRDefault="008B1451" w:rsidP="008B1451">
            <w:pPr>
              <w:rPr>
                <w:rFonts w:hAnsi="宋体"/>
                <w:color w:val="000000"/>
                <w:sz w:val="18"/>
                <w:szCs w:val="18"/>
              </w:rPr>
            </w:pPr>
            <w:r w:rsidRPr="008B1451">
              <w:rPr>
                <w:color w:val="000000"/>
                <w:sz w:val="18"/>
                <w:szCs w:val="18"/>
              </w:rPr>
              <w:t>1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．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检测方法：吸光度</w:t>
            </w:r>
          </w:p>
          <w:p w:rsidR="008B1451" w:rsidRPr="008B1451" w:rsidRDefault="008B1451" w:rsidP="008B1451">
            <w:pPr>
              <w:rPr>
                <w:color w:val="000000"/>
                <w:sz w:val="18"/>
                <w:szCs w:val="18"/>
              </w:rPr>
            </w:pP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2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、检测模式：</w:t>
            </w:r>
            <w:r w:rsidRPr="008B1451">
              <w:rPr>
                <w:color w:val="000000"/>
                <w:sz w:val="18"/>
                <w:szCs w:val="18"/>
              </w:rPr>
              <w:t>终点法、</w:t>
            </w:r>
            <w:r w:rsidRPr="008B1451">
              <w:rPr>
                <w:rFonts w:hint="eastAsia"/>
                <w:color w:val="000000"/>
                <w:sz w:val="18"/>
                <w:szCs w:val="18"/>
              </w:rPr>
              <w:t>单波长扫描、双波长扫描</w:t>
            </w:r>
          </w:p>
          <w:p w:rsidR="008B1451" w:rsidRPr="008B1451" w:rsidRDefault="008B1451" w:rsidP="008B1451">
            <w:pPr>
              <w:rPr>
                <w:color w:val="000000"/>
                <w:sz w:val="18"/>
                <w:szCs w:val="18"/>
              </w:rPr>
            </w:pP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3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、扫描功能：高分辨率扫描，每孔≥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29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个点</w:t>
            </w:r>
          </w:p>
          <w:p w:rsidR="008B1451" w:rsidRPr="008B1451" w:rsidRDefault="008B1451" w:rsidP="008B1451">
            <w:pPr>
              <w:rPr>
                <w:color w:val="000000"/>
                <w:sz w:val="18"/>
                <w:szCs w:val="18"/>
              </w:rPr>
            </w:pPr>
            <w:r w:rsidRPr="008B1451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．</w:t>
            </w:r>
            <w:r w:rsidRPr="008B1451">
              <w:rPr>
                <w:rFonts w:hint="eastAsia"/>
                <w:color w:val="000000"/>
                <w:sz w:val="18"/>
                <w:szCs w:val="18"/>
              </w:rPr>
              <w:t>检测光源：采用双</w:t>
            </w:r>
            <w:r w:rsidRPr="008B1451">
              <w:rPr>
                <w:rFonts w:hint="eastAsia"/>
                <w:color w:val="000000"/>
                <w:sz w:val="18"/>
                <w:szCs w:val="18"/>
              </w:rPr>
              <w:t>LED</w:t>
            </w:r>
            <w:r w:rsidRPr="008B1451">
              <w:rPr>
                <w:rFonts w:hint="eastAsia"/>
                <w:color w:val="000000"/>
                <w:sz w:val="18"/>
                <w:szCs w:val="18"/>
              </w:rPr>
              <w:t>冷光源，光源寿命长，检测稳定性好</w:t>
            </w:r>
          </w:p>
          <w:p w:rsidR="008B1451" w:rsidRPr="008B1451" w:rsidRDefault="008B1451" w:rsidP="008B1451">
            <w:pPr>
              <w:rPr>
                <w:color w:val="000000"/>
                <w:sz w:val="18"/>
                <w:szCs w:val="18"/>
              </w:rPr>
            </w:pPr>
            <w:r w:rsidRPr="008B1451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8B1451">
              <w:rPr>
                <w:rFonts w:hint="eastAsia"/>
                <w:color w:val="000000"/>
                <w:sz w:val="18"/>
                <w:szCs w:val="18"/>
              </w:rPr>
              <w:t>、微孔板类型：</w:t>
            </w:r>
            <w:r w:rsidRPr="008B1451">
              <w:rPr>
                <w:color w:val="000000"/>
                <w:sz w:val="18"/>
                <w:szCs w:val="18"/>
              </w:rPr>
              <w:t>96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孔（</w:t>
            </w:r>
            <w:r w:rsidRPr="008B1451">
              <w:rPr>
                <w:color w:val="000000"/>
                <w:sz w:val="18"/>
                <w:szCs w:val="18"/>
              </w:rPr>
              <w:t>8×12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）或</w:t>
            </w:r>
            <w:r w:rsidRPr="008B1451">
              <w:rPr>
                <w:color w:val="000000"/>
                <w:sz w:val="18"/>
                <w:szCs w:val="18"/>
              </w:rPr>
              <w:t>48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孔（</w:t>
            </w:r>
            <w:r w:rsidRPr="008B1451">
              <w:rPr>
                <w:color w:val="000000"/>
                <w:sz w:val="18"/>
                <w:szCs w:val="18"/>
              </w:rPr>
              <w:t>4×12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）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，平底、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U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型底和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V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型底的微孔板</w:t>
            </w:r>
          </w:p>
          <w:p w:rsidR="008B1451" w:rsidRPr="008B1451" w:rsidRDefault="008B1451" w:rsidP="008B1451">
            <w:pPr>
              <w:rPr>
                <w:rFonts w:hAnsi="宋体"/>
                <w:color w:val="000000"/>
                <w:sz w:val="18"/>
                <w:szCs w:val="18"/>
              </w:rPr>
            </w:pPr>
            <w:r w:rsidRPr="008B1451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．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检测通道：≥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8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通道</w:t>
            </w:r>
          </w:p>
          <w:p w:rsidR="008B1451" w:rsidRPr="008B1451" w:rsidRDefault="008B1451" w:rsidP="008B1451">
            <w:pPr>
              <w:rPr>
                <w:rFonts w:hAnsi="宋体"/>
                <w:color w:val="000000"/>
                <w:spacing w:val="8"/>
                <w:sz w:val="18"/>
                <w:szCs w:val="18"/>
              </w:rPr>
            </w:pP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7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、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准确性：在</w:t>
            </w:r>
            <w:r w:rsidRPr="008B1451">
              <w:rPr>
                <w:color w:val="000000"/>
                <w:sz w:val="18"/>
                <w:szCs w:val="18"/>
              </w:rPr>
              <w:t>1.000 OD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时</w:t>
            </w:r>
            <w:r w:rsidRPr="008B1451">
              <w:rPr>
                <w:color w:val="000000"/>
                <w:sz w:val="18"/>
                <w:szCs w:val="18"/>
              </w:rPr>
              <w:t>，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相对误差为</w:t>
            </w:r>
            <w:r w:rsidRPr="008B1451">
              <w:rPr>
                <w:rFonts w:hAnsi="宋体"/>
                <w:color w:val="000000"/>
                <w:spacing w:val="8"/>
                <w:sz w:val="18"/>
                <w:szCs w:val="18"/>
              </w:rPr>
              <w:t>＜</w:t>
            </w:r>
            <w:r w:rsidRPr="008B1451">
              <w:rPr>
                <w:color w:val="000000"/>
                <w:spacing w:val="8"/>
                <w:sz w:val="18"/>
                <w:szCs w:val="18"/>
              </w:rPr>
              <w:t>±0.5%</w:t>
            </w:r>
            <w:r w:rsidRPr="008B1451">
              <w:rPr>
                <w:rFonts w:hAnsi="宋体"/>
                <w:color w:val="000000"/>
                <w:spacing w:val="8"/>
                <w:sz w:val="18"/>
                <w:szCs w:val="18"/>
              </w:rPr>
              <w:t>。</w:t>
            </w:r>
          </w:p>
          <w:p w:rsidR="008B1451" w:rsidRPr="008B1451" w:rsidRDefault="008B1451" w:rsidP="008B1451">
            <w:pPr>
              <w:rPr>
                <w:color w:val="000000"/>
                <w:sz w:val="18"/>
                <w:szCs w:val="18"/>
              </w:rPr>
            </w:pPr>
            <w:r w:rsidRPr="008B1451">
              <w:rPr>
                <w:rFonts w:hAnsi="宋体" w:hint="eastAsia"/>
                <w:color w:val="000000"/>
                <w:spacing w:val="8"/>
                <w:sz w:val="18"/>
                <w:szCs w:val="18"/>
              </w:rPr>
              <w:t>8</w:t>
            </w:r>
            <w:r w:rsidRPr="008B1451">
              <w:rPr>
                <w:rFonts w:hAnsi="宋体" w:hint="eastAsia"/>
                <w:color w:val="000000"/>
                <w:spacing w:val="8"/>
                <w:sz w:val="18"/>
                <w:szCs w:val="18"/>
              </w:rPr>
              <w:t>、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线性：在</w:t>
            </w:r>
            <w:r w:rsidRPr="008B1451">
              <w:rPr>
                <w:color w:val="000000"/>
                <w:sz w:val="18"/>
                <w:szCs w:val="18"/>
              </w:rPr>
              <w:t>0.000-3.000 OD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时，</w:t>
            </w:r>
            <w:r w:rsidRPr="008B1451">
              <w:rPr>
                <w:rFonts w:hAnsi="宋体"/>
                <w:color w:val="000000"/>
                <w:spacing w:val="8"/>
                <w:sz w:val="18"/>
                <w:szCs w:val="18"/>
              </w:rPr>
              <w:t>＜</w:t>
            </w:r>
            <w:r w:rsidRPr="008B1451">
              <w:rPr>
                <w:color w:val="000000"/>
                <w:sz w:val="18"/>
                <w:szCs w:val="18"/>
              </w:rPr>
              <w:sym w:font="Symbol" w:char="F0B1"/>
            </w:r>
            <w:r w:rsidRPr="008B1451">
              <w:rPr>
                <w:color w:val="000000"/>
                <w:sz w:val="18"/>
                <w:szCs w:val="18"/>
              </w:rPr>
              <w:t>0.</w:t>
            </w:r>
            <w:r w:rsidRPr="008B1451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8B1451">
              <w:rPr>
                <w:color w:val="000000"/>
                <w:sz w:val="18"/>
                <w:szCs w:val="18"/>
              </w:rPr>
              <w:t>%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。</w:t>
            </w:r>
          </w:p>
          <w:p w:rsidR="008B1451" w:rsidRPr="008B1451" w:rsidRDefault="008B1451" w:rsidP="008B1451">
            <w:pPr>
              <w:rPr>
                <w:color w:val="000000"/>
                <w:spacing w:val="8"/>
                <w:sz w:val="18"/>
                <w:szCs w:val="18"/>
              </w:rPr>
            </w:pPr>
            <w:r w:rsidRPr="008B1451">
              <w:rPr>
                <w:rFonts w:hint="eastAsia"/>
                <w:color w:val="000000"/>
                <w:sz w:val="18"/>
                <w:szCs w:val="18"/>
              </w:rPr>
              <w:t>9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．重复性</w:t>
            </w:r>
            <w:r w:rsidRPr="008B1451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8B1451">
              <w:rPr>
                <w:rFonts w:hAnsi="宋体"/>
                <w:color w:val="000000"/>
                <w:spacing w:val="8"/>
                <w:sz w:val="18"/>
                <w:szCs w:val="18"/>
              </w:rPr>
              <w:t>＜</w:t>
            </w:r>
            <w:r w:rsidRPr="008B1451">
              <w:rPr>
                <w:color w:val="000000"/>
                <w:spacing w:val="8"/>
                <w:sz w:val="18"/>
                <w:szCs w:val="18"/>
              </w:rPr>
              <w:t>±0.1</w:t>
            </w:r>
            <w:r w:rsidRPr="008B1451">
              <w:rPr>
                <w:rFonts w:hint="eastAsia"/>
                <w:color w:val="000000"/>
                <w:spacing w:val="8"/>
                <w:sz w:val="18"/>
                <w:szCs w:val="18"/>
              </w:rPr>
              <w:t>5</w:t>
            </w:r>
            <w:r w:rsidRPr="008B1451">
              <w:rPr>
                <w:color w:val="000000"/>
                <w:spacing w:val="8"/>
                <w:sz w:val="18"/>
                <w:szCs w:val="18"/>
              </w:rPr>
              <w:t>%</w:t>
            </w:r>
            <w:r w:rsidRPr="008B1451">
              <w:rPr>
                <w:rFonts w:hAnsi="宋体"/>
                <w:color w:val="000000"/>
                <w:spacing w:val="8"/>
                <w:sz w:val="18"/>
                <w:szCs w:val="18"/>
              </w:rPr>
              <w:t>。</w:t>
            </w:r>
          </w:p>
          <w:p w:rsidR="008B1451" w:rsidRPr="008B1451" w:rsidRDefault="008B1451" w:rsidP="008B1451">
            <w:pPr>
              <w:rPr>
                <w:color w:val="000000"/>
                <w:sz w:val="18"/>
                <w:szCs w:val="18"/>
              </w:rPr>
            </w:pPr>
            <w:r w:rsidRPr="008B1451">
              <w:rPr>
                <w:rFonts w:hint="eastAsia"/>
                <w:color w:val="000000"/>
                <w:sz w:val="18"/>
                <w:szCs w:val="18"/>
              </w:rPr>
              <w:t>10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．测量时间：单波长</w:t>
            </w:r>
            <w:r w:rsidRPr="008B1451">
              <w:rPr>
                <w:rFonts w:hAnsi="宋体"/>
                <w:color w:val="000000"/>
                <w:spacing w:val="8"/>
                <w:sz w:val="18"/>
                <w:szCs w:val="18"/>
              </w:rPr>
              <w:t>＜</w:t>
            </w:r>
            <w:r w:rsidRPr="008B1451">
              <w:rPr>
                <w:color w:val="000000"/>
                <w:sz w:val="18"/>
                <w:szCs w:val="18"/>
              </w:rPr>
              <w:t>2s/96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孔，双波长</w:t>
            </w:r>
            <w:r w:rsidRPr="008B1451">
              <w:rPr>
                <w:rFonts w:hAnsi="宋体"/>
                <w:color w:val="000000"/>
                <w:spacing w:val="8"/>
                <w:sz w:val="18"/>
                <w:szCs w:val="18"/>
              </w:rPr>
              <w:t>＜</w:t>
            </w:r>
            <w:r w:rsidRPr="008B1451">
              <w:rPr>
                <w:color w:val="000000"/>
                <w:sz w:val="18"/>
                <w:szCs w:val="18"/>
              </w:rPr>
              <w:t>5s/96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孔。</w:t>
            </w:r>
          </w:p>
          <w:p w:rsidR="008B1451" w:rsidRPr="008B1451" w:rsidRDefault="008B1451" w:rsidP="008B1451">
            <w:pPr>
              <w:rPr>
                <w:color w:val="000000"/>
                <w:sz w:val="18"/>
                <w:szCs w:val="18"/>
              </w:rPr>
            </w:pPr>
            <w:r w:rsidRPr="008B1451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．波长范围：</w:t>
            </w:r>
            <w:r w:rsidRPr="008B1451">
              <w:rPr>
                <w:color w:val="000000"/>
                <w:sz w:val="18"/>
                <w:szCs w:val="18"/>
              </w:rPr>
              <w:t>400nm-7</w:t>
            </w:r>
            <w:r w:rsidRPr="008B1451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8B1451">
              <w:rPr>
                <w:color w:val="000000"/>
                <w:sz w:val="18"/>
                <w:szCs w:val="18"/>
              </w:rPr>
              <w:t>0nm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。</w:t>
            </w:r>
          </w:p>
          <w:p w:rsidR="008B1451" w:rsidRPr="008B1451" w:rsidRDefault="008B1451" w:rsidP="008B1451">
            <w:pPr>
              <w:rPr>
                <w:color w:val="000000"/>
                <w:sz w:val="18"/>
                <w:szCs w:val="18"/>
              </w:rPr>
            </w:pPr>
            <w:r w:rsidRPr="008B1451">
              <w:rPr>
                <w:rFonts w:hint="eastAsia"/>
                <w:color w:val="000000"/>
                <w:sz w:val="18"/>
                <w:szCs w:val="18"/>
              </w:rPr>
              <w:t>12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．滤光片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：</w:t>
            </w:r>
            <w:proofErr w:type="gramStart"/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标配</w:t>
            </w:r>
            <w:proofErr w:type="gramEnd"/>
            <w:r w:rsidRPr="008B1451">
              <w:rPr>
                <w:color w:val="000000"/>
                <w:sz w:val="18"/>
                <w:szCs w:val="18"/>
              </w:rPr>
              <w:t>405nm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、</w:t>
            </w:r>
            <w:r w:rsidRPr="008B1451">
              <w:rPr>
                <w:color w:val="000000"/>
                <w:sz w:val="18"/>
                <w:szCs w:val="18"/>
              </w:rPr>
              <w:t>450nm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、</w:t>
            </w:r>
            <w:r w:rsidRPr="008B1451">
              <w:rPr>
                <w:color w:val="000000"/>
                <w:sz w:val="18"/>
                <w:szCs w:val="18"/>
              </w:rPr>
              <w:t>492nm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、</w:t>
            </w:r>
            <w:r w:rsidRPr="008B1451">
              <w:rPr>
                <w:color w:val="000000"/>
                <w:sz w:val="18"/>
                <w:szCs w:val="18"/>
              </w:rPr>
              <w:t>6</w:t>
            </w:r>
            <w:r w:rsidRPr="008B1451">
              <w:rPr>
                <w:rFonts w:hint="eastAsia"/>
                <w:color w:val="000000"/>
                <w:sz w:val="18"/>
                <w:szCs w:val="18"/>
              </w:rPr>
              <w:t>30</w:t>
            </w:r>
            <w:r w:rsidRPr="008B1451">
              <w:rPr>
                <w:color w:val="000000"/>
                <w:sz w:val="18"/>
                <w:szCs w:val="18"/>
              </w:rPr>
              <w:t>nm</w:t>
            </w:r>
          </w:p>
          <w:p w:rsidR="005F5582" w:rsidRPr="00823020" w:rsidRDefault="008B1451" w:rsidP="008B1451">
            <w:pPr>
              <w:rPr>
                <w:rFonts w:ascii="宋体" w:hAnsi="宋体"/>
                <w:sz w:val="18"/>
                <w:szCs w:val="18"/>
              </w:rPr>
            </w:pPr>
            <w:r w:rsidRPr="008B1451">
              <w:rPr>
                <w:color w:val="000000"/>
                <w:sz w:val="18"/>
                <w:szCs w:val="18"/>
              </w:rPr>
              <w:t>1</w:t>
            </w:r>
            <w:r w:rsidRPr="008B1451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．</w:t>
            </w:r>
            <w:r w:rsidRPr="008B1451">
              <w:rPr>
                <w:rFonts w:hAnsi="宋体" w:hint="eastAsia"/>
                <w:color w:val="000000"/>
                <w:sz w:val="18"/>
                <w:szCs w:val="18"/>
              </w:rPr>
              <w:t>震荡功能：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振荡频率为高、中、低三档可调，振荡时间</w:t>
            </w:r>
            <w:r w:rsidRPr="008B1451">
              <w:rPr>
                <w:color w:val="000000"/>
                <w:sz w:val="18"/>
                <w:szCs w:val="18"/>
              </w:rPr>
              <w:t>1s -300s</w:t>
            </w:r>
            <w:r w:rsidRPr="008B1451">
              <w:rPr>
                <w:rFonts w:hAnsi="宋体"/>
                <w:color w:val="000000"/>
                <w:sz w:val="18"/>
                <w:szCs w:val="18"/>
              </w:rPr>
              <w:t>可调。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629" w:rsidRDefault="00F96010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C30D53">
              <w:rPr>
                <w:rFonts w:ascii="宋体" w:hAnsi="宋体" w:hint="eastAsia"/>
                <w:szCs w:val="21"/>
              </w:rPr>
              <w:t>万</w:t>
            </w:r>
          </w:p>
        </w:tc>
      </w:tr>
      <w:tr w:rsidR="00E77C08" w:rsidTr="00282953">
        <w:trPr>
          <w:trHeight w:val="666"/>
        </w:trPr>
        <w:tc>
          <w:tcPr>
            <w:tcW w:w="710" w:type="dxa"/>
          </w:tcPr>
          <w:p w:rsidR="00E77C08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</w:tcPr>
          <w:p w:rsidR="005D02A9" w:rsidRPr="005F25AA" w:rsidRDefault="00F96010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超低温冰箱</w:t>
            </w:r>
          </w:p>
        </w:tc>
        <w:tc>
          <w:tcPr>
            <w:tcW w:w="992" w:type="dxa"/>
          </w:tcPr>
          <w:p w:rsidR="00E77C08" w:rsidRPr="005F25AA" w:rsidRDefault="00051ED9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4110" w:type="dxa"/>
          </w:tcPr>
          <w:p w:rsidR="008B1451" w:rsidRDefault="008B1451" w:rsidP="008B145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、满足保存病毒、细菌样本、疫苗、生物组织及器官等多种物品的需求</w:t>
            </w:r>
            <w:r w:rsidR="00C16F25">
              <w:rPr>
                <w:rFonts w:hint="eastAsia"/>
              </w:rPr>
              <w:t>，容积不小于</w:t>
            </w:r>
            <w:r w:rsidR="00C16F25">
              <w:rPr>
                <w:rFonts w:hint="eastAsia"/>
              </w:rPr>
              <w:t>400L</w:t>
            </w:r>
            <w:r w:rsidR="00C16F25">
              <w:rPr>
                <w:rFonts w:hint="eastAsia"/>
              </w:rPr>
              <w:t>。</w:t>
            </w:r>
          </w:p>
          <w:p w:rsidR="008B1451" w:rsidRDefault="008B1451" w:rsidP="008B145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、温度范围为</w:t>
            </w:r>
            <w:r>
              <w:rPr>
                <w:rFonts w:hint="eastAsia"/>
              </w:rPr>
              <w:t xml:space="preserve"> - 40</w:t>
            </w:r>
            <w:r>
              <w:rPr>
                <w:rFonts w:hint="eastAsia"/>
              </w:rPr>
              <w:t>℃～</w:t>
            </w:r>
            <w:r>
              <w:rPr>
                <w:rFonts w:hint="eastAsia"/>
              </w:rPr>
              <w:t>-86</w:t>
            </w:r>
            <w:r>
              <w:rPr>
                <w:rFonts w:hint="eastAsia"/>
              </w:rPr>
              <w:t>℃</w:t>
            </w:r>
            <w:r w:rsidR="00C16F25">
              <w:rPr>
                <w:rFonts w:hint="eastAsia"/>
              </w:rPr>
              <w:t>。</w:t>
            </w:r>
          </w:p>
          <w:p w:rsidR="008B1451" w:rsidRDefault="008B1451" w:rsidP="008B145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、采用智能控制与变频制冷技术。</w:t>
            </w:r>
          </w:p>
          <w:p w:rsidR="007742D9" w:rsidRDefault="008B1451" w:rsidP="008B1451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、温度均匀性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℃以内。</w:t>
            </w:r>
          </w:p>
          <w:p w:rsidR="008B1451" w:rsidRDefault="008B1451" w:rsidP="008B1451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、采用碳氢制冷剂</w:t>
            </w:r>
            <w:r>
              <w:rPr>
                <w:rFonts w:hint="eastAsia"/>
              </w:rPr>
              <w:t xml:space="preserve"> R290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R170</w:t>
            </w:r>
          </w:p>
          <w:p w:rsidR="008B1451" w:rsidRDefault="008B1451" w:rsidP="008B1451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、大屏显示：配备触摸</w:t>
            </w:r>
            <w:r>
              <w:rPr>
                <w:rFonts w:hint="eastAsia"/>
              </w:rPr>
              <w:t xml:space="preserve"> LCD</w:t>
            </w:r>
            <w:r>
              <w:rPr>
                <w:rFonts w:hint="eastAsia"/>
              </w:rPr>
              <w:t>屏，可实时监控运行状态。</w:t>
            </w:r>
          </w:p>
          <w:p w:rsidR="008B1451" w:rsidRDefault="008B1451" w:rsidP="008B1451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、内置样本库软件，可实现样本的数字化存储、身份识别和</w:t>
            </w:r>
            <w:proofErr w:type="gramStart"/>
            <w:r>
              <w:rPr>
                <w:rFonts w:hint="eastAsia"/>
              </w:rPr>
              <w:t>物联</w:t>
            </w:r>
            <w:proofErr w:type="gramEnd"/>
            <w:r>
              <w:rPr>
                <w:rFonts w:hint="eastAsia"/>
              </w:rPr>
              <w:t>监控。</w:t>
            </w:r>
          </w:p>
          <w:p w:rsidR="008B1451" w:rsidRPr="008B1451" w:rsidRDefault="008B1451" w:rsidP="008B1451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、低噪音运行：噪音低于</w:t>
            </w:r>
            <w:r>
              <w:rPr>
                <w:rFonts w:hint="eastAsia"/>
              </w:rPr>
              <w:t xml:space="preserve"> 50dB</w:t>
            </w:r>
          </w:p>
        </w:tc>
        <w:tc>
          <w:tcPr>
            <w:tcW w:w="1134" w:type="dxa"/>
          </w:tcPr>
          <w:p w:rsidR="00E77C08" w:rsidRPr="00D73D21" w:rsidRDefault="00F96010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C17CA8">
              <w:rPr>
                <w:rFonts w:ascii="宋体" w:hAnsi="宋体" w:hint="eastAsia"/>
                <w:szCs w:val="21"/>
              </w:rPr>
              <w:t>万</w:t>
            </w:r>
          </w:p>
        </w:tc>
      </w:tr>
      <w:tr w:rsidR="00282953" w:rsidTr="00823020">
        <w:trPr>
          <w:trHeight w:val="666"/>
        </w:trPr>
        <w:tc>
          <w:tcPr>
            <w:tcW w:w="710" w:type="dxa"/>
            <w:tcBorders>
              <w:bottom w:val="single" w:sz="4" w:space="0" w:color="auto"/>
            </w:tcBorders>
          </w:tcPr>
          <w:p w:rsidR="00282953" w:rsidRDefault="00282953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2953" w:rsidRDefault="00F96010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二氧化碳培养箱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2953" w:rsidRDefault="00F96010" w:rsidP="00DC3AC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282953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4110" w:type="dxa"/>
          </w:tcPr>
          <w:p w:rsidR="00282953" w:rsidRPr="00282953" w:rsidRDefault="008B1451" w:rsidP="008A42EC">
            <w:pPr>
              <w:rPr>
                <w:rFonts w:ascii="宋体" w:hAnsi="宋体"/>
                <w:sz w:val="18"/>
                <w:szCs w:val="18"/>
              </w:rPr>
            </w:pPr>
            <w:r w:rsidRPr="00A117AC">
              <w:rPr>
                <w:rFonts w:ascii="Times New Roman" w:hAnsi="Times New Roman"/>
                <w:szCs w:val="21"/>
              </w:rPr>
              <w:t>温度控制</w:t>
            </w:r>
            <w:r w:rsidRPr="00A117AC">
              <w:rPr>
                <w:rFonts w:ascii="Times New Roman" w:hAnsi="Times New Roman"/>
                <w:szCs w:val="21"/>
              </w:rPr>
              <w:t>37</w:t>
            </w:r>
            <w:r w:rsidR="008A42EC" w:rsidRPr="00A117AC">
              <w:rPr>
                <w:rFonts w:ascii="宋体" w:eastAsia="宋体" w:hAnsi="宋体" w:cs="宋体" w:hint="eastAsia"/>
                <w:szCs w:val="21"/>
              </w:rPr>
              <w:t>℃</w:t>
            </w:r>
            <w:r w:rsidRPr="00A117AC">
              <w:rPr>
                <w:rFonts w:ascii="Times New Roman" w:hAnsi="Times New Roman"/>
                <w:szCs w:val="21"/>
              </w:rPr>
              <w:t>±0.1</w:t>
            </w:r>
            <w:r w:rsidR="008A42EC" w:rsidRPr="00A117AC">
              <w:rPr>
                <w:rFonts w:ascii="宋体" w:eastAsia="宋体" w:hAnsi="宋体" w:cs="宋体" w:hint="eastAsia"/>
                <w:szCs w:val="21"/>
              </w:rPr>
              <w:t>℃</w:t>
            </w:r>
            <w:r w:rsidRPr="00A117AC">
              <w:rPr>
                <w:rFonts w:ascii="Times New Roman" w:hAnsi="Times New Roman"/>
                <w:szCs w:val="21"/>
              </w:rPr>
              <w:t>，</w:t>
            </w:r>
            <w:r w:rsidRPr="00A117AC">
              <w:rPr>
                <w:rFonts w:ascii="Times New Roman" w:hAnsi="Times New Roman"/>
                <w:szCs w:val="21"/>
              </w:rPr>
              <w:t>CO2</w:t>
            </w:r>
            <w:r w:rsidRPr="00A117AC">
              <w:rPr>
                <w:rFonts w:ascii="Times New Roman" w:hAnsi="Times New Roman"/>
                <w:szCs w:val="21"/>
              </w:rPr>
              <w:t>浓度</w:t>
            </w:r>
            <w:r w:rsidRPr="00A117AC">
              <w:rPr>
                <w:rFonts w:ascii="Times New Roman" w:hAnsi="Times New Roman"/>
                <w:szCs w:val="21"/>
              </w:rPr>
              <w:t>0-20%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2953" w:rsidRPr="00D73D21" w:rsidRDefault="00F96010" w:rsidP="00D8022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 w:rsidR="00C17CA8">
              <w:rPr>
                <w:rFonts w:ascii="宋体" w:hAnsi="宋体" w:hint="eastAsia"/>
                <w:szCs w:val="21"/>
              </w:rPr>
              <w:t>万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C17CA8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报名成功后请按时参加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议标，如有特殊情况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无法参加的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向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我院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采购中心报备。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103B4" w:rsidRPr="001518E6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C17CA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D28BA" w:rsidRPr="001518E6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 w:rsidRPr="00823020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1E494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A16BB3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8C3B0C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对议标品目设备</w:t>
            </w:r>
            <w:r w:rsidR="008C3B0C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B4277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B4277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</w:t>
            </w:r>
            <w:r w:rsidR="00B4277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="008C3B0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4F33F51"/>
    <w:multiLevelType w:val="hybridMultilevel"/>
    <w:tmpl w:val="5AA49D38"/>
    <w:lvl w:ilvl="0" w:tplc="8BE2DA04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1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45E5D"/>
    <w:rsid w:val="000501D4"/>
    <w:rsid w:val="00051ED9"/>
    <w:rsid w:val="000563DD"/>
    <w:rsid w:val="00057B21"/>
    <w:rsid w:val="00057F22"/>
    <w:rsid w:val="000615A2"/>
    <w:rsid w:val="000718AF"/>
    <w:rsid w:val="00075881"/>
    <w:rsid w:val="00080700"/>
    <w:rsid w:val="00092AF2"/>
    <w:rsid w:val="000A1B71"/>
    <w:rsid w:val="000B4243"/>
    <w:rsid w:val="000B7086"/>
    <w:rsid w:val="000C210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18E6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E494F"/>
    <w:rsid w:val="001E5C85"/>
    <w:rsid w:val="001F2A90"/>
    <w:rsid w:val="00201A0C"/>
    <w:rsid w:val="00205C8D"/>
    <w:rsid w:val="00233CF6"/>
    <w:rsid w:val="00235D34"/>
    <w:rsid w:val="0025059E"/>
    <w:rsid w:val="0025202A"/>
    <w:rsid w:val="002610C5"/>
    <w:rsid w:val="00263774"/>
    <w:rsid w:val="00270AFB"/>
    <w:rsid w:val="00272502"/>
    <w:rsid w:val="002733A2"/>
    <w:rsid w:val="002743DD"/>
    <w:rsid w:val="00282953"/>
    <w:rsid w:val="00284691"/>
    <w:rsid w:val="00284CC9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36AA"/>
    <w:rsid w:val="00516258"/>
    <w:rsid w:val="00524DB8"/>
    <w:rsid w:val="00524EC7"/>
    <w:rsid w:val="0052719A"/>
    <w:rsid w:val="00540827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50DF"/>
    <w:rsid w:val="005C434B"/>
    <w:rsid w:val="005D02A9"/>
    <w:rsid w:val="005D7656"/>
    <w:rsid w:val="005E37B0"/>
    <w:rsid w:val="005E47BA"/>
    <w:rsid w:val="005F25AA"/>
    <w:rsid w:val="005F280E"/>
    <w:rsid w:val="005F5582"/>
    <w:rsid w:val="005F566C"/>
    <w:rsid w:val="005F6185"/>
    <w:rsid w:val="00600CA5"/>
    <w:rsid w:val="006103B4"/>
    <w:rsid w:val="00614937"/>
    <w:rsid w:val="006149F3"/>
    <w:rsid w:val="0061546B"/>
    <w:rsid w:val="0062039A"/>
    <w:rsid w:val="00621311"/>
    <w:rsid w:val="00621701"/>
    <w:rsid w:val="00624C91"/>
    <w:rsid w:val="00633C9C"/>
    <w:rsid w:val="00640101"/>
    <w:rsid w:val="006416D8"/>
    <w:rsid w:val="006440F5"/>
    <w:rsid w:val="00663E88"/>
    <w:rsid w:val="006643E6"/>
    <w:rsid w:val="006661B7"/>
    <w:rsid w:val="00666A9C"/>
    <w:rsid w:val="0067074E"/>
    <w:rsid w:val="00675D36"/>
    <w:rsid w:val="006767C3"/>
    <w:rsid w:val="00681A57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584B"/>
    <w:rsid w:val="00764CA8"/>
    <w:rsid w:val="007666D4"/>
    <w:rsid w:val="00767928"/>
    <w:rsid w:val="007742D9"/>
    <w:rsid w:val="00774847"/>
    <w:rsid w:val="00780479"/>
    <w:rsid w:val="0078618E"/>
    <w:rsid w:val="00787D7D"/>
    <w:rsid w:val="00793F2E"/>
    <w:rsid w:val="0079795D"/>
    <w:rsid w:val="00797F60"/>
    <w:rsid w:val="007A2FBA"/>
    <w:rsid w:val="007A3A8B"/>
    <w:rsid w:val="007A417F"/>
    <w:rsid w:val="007B1E36"/>
    <w:rsid w:val="007B218B"/>
    <w:rsid w:val="007B2B3E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37A61"/>
    <w:rsid w:val="008406CB"/>
    <w:rsid w:val="008479D3"/>
    <w:rsid w:val="0085033E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12E1"/>
    <w:rsid w:val="008A1DA2"/>
    <w:rsid w:val="008A42EC"/>
    <w:rsid w:val="008B1451"/>
    <w:rsid w:val="008B63FE"/>
    <w:rsid w:val="008C3B0C"/>
    <w:rsid w:val="008D0D20"/>
    <w:rsid w:val="008D1D99"/>
    <w:rsid w:val="008D4A9F"/>
    <w:rsid w:val="008F22B0"/>
    <w:rsid w:val="008F2333"/>
    <w:rsid w:val="008F6702"/>
    <w:rsid w:val="00903BBD"/>
    <w:rsid w:val="00915938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680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16BB3"/>
    <w:rsid w:val="00A20482"/>
    <w:rsid w:val="00A27DC0"/>
    <w:rsid w:val="00A312B7"/>
    <w:rsid w:val="00A403CA"/>
    <w:rsid w:val="00A4610D"/>
    <w:rsid w:val="00A475CC"/>
    <w:rsid w:val="00A53D4A"/>
    <w:rsid w:val="00A65A2F"/>
    <w:rsid w:val="00A71893"/>
    <w:rsid w:val="00A71E2D"/>
    <w:rsid w:val="00A7450C"/>
    <w:rsid w:val="00A90038"/>
    <w:rsid w:val="00A92C48"/>
    <w:rsid w:val="00A95BFE"/>
    <w:rsid w:val="00A95C41"/>
    <w:rsid w:val="00A960EA"/>
    <w:rsid w:val="00AA2696"/>
    <w:rsid w:val="00AA3BB7"/>
    <w:rsid w:val="00AA418D"/>
    <w:rsid w:val="00AA798A"/>
    <w:rsid w:val="00AB33C0"/>
    <w:rsid w:val="00AC014E"/>
    <w:rsid w:val="00AC01BA"/>
    <w:rsid w:val="00AC26C0"/>
    <w:rsid w:val="00AD1049"/>
    <w:rsid w:val="00AD35B4"/>
    <w:rsid w:val="00AD3D81"/>
    <w:rsid w:val="00AD5D35"/>
    <w:rsid w:val="00AE2688"/>
    <w:rsid w:val="00AE3C8A"/>
    <w:rsid w:val="00AE443B"/>
    <w:rsid w:val="00AE4B29"/>
    <w:rsid w:val="00AE59E7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306E"/>
    <w:rsid w:val="00B63DDE"/>
    <w:rsid w:val="00B67168"/>
    <w:rsid w:val="00B72526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6F25"/>
    <w:rsid w:val="00C17151"/>
    <w:rsid w:val="00C17CA8"/>
    <w:rsid w:val="00C20E49"/>
    <w:rsid w:val="00C30D53"/>
    <w:rsid w:val="00C31499"/>
    <w:rsid w:val="00C37597"/>
    <w:rsid w:val="00C41CC0"/>
    <w:rsid w:val="00C41D03"/>
    <w:rsid w:val="00C4574F"/>
    <w:rsid w:val="00C52607"/>
    <w:rsid w:val="00C52E62"/>
    <w:rsid w:val="00C53104"/>
    <w:rsid w:val="00C53935"/>
    <w:rsid w:val="00C55D3A"/>
    <w:rsid w:val="00C55E81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93104"/>
    <w:rsid w:val="00EA1182"/>
    <w:rsid w:val="00EA6663"/>
    <w:rsid w:val="00EB0C4B"/>
    <w:rsid w:val="00EB3716"/>
    <w:rsid w:val="00EB6B8D"/>
    <w:rsid w:val="00EB7301"/>
    <w:rsid w:val="00EB7C1F"/>
    <w:rsid w:val="00EC2A89"/>
    <w:rsid w:val="00EC3248"/>
    <w:rsid w:val="00EC6B2C"/>
    <w:rsid w:val="00ED2896"/>
    <w:rsid w:val="00EE4F0A"/>
    <w:rsid w:val="00EE66B3"/>
    <w:rsid w:val="00EF0B76"/>
    <w:rsid w:val="00EF105B"/>
    <w:rsid w:val="00F01B6F"/>
    <w:rsid w:val="00F11538"/>
    <w:rsid w:val="00F159FD"/>
    <w:rsid w:val="00F22BCA"/>
    <w:rsid w:val="00F44D66"/>
    <w:rsid w:val="00F47D7E"/>
    <w:rsid w:val="00F47F62"/>
    <w:rsid w:val="00F52097"/>
    <w:rsid w:val="00F53357"/>
    <w:rsid w:val="00F533BF"/>
    <w:rsid w:val="00F56C7C"/>
    <w:rsid w:val="00F62272"/>
    <w:rsid w:val="00F62607"/>
    <w:rsid w:val="00F66818"/>
    <w:rsid w:val="00F671CA"/>
    <w:rsid w:val="00F675E6"/>
    <w:rsid w:val="00F70953"/>
    <w:rsid w:val="00F76850"/>
    <w:rsid w:val="00F81FB6"/>
    <w:rsid w:val="00F84EB7"/>
    <w:rsid w:val="00F85F0C"/>
    <w:rsid w:val="00F86C9D"/>
    <w:rsid w:val="00F93D35"/>
    <w:rsid w:val="00F96010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379</Words>
  <Characters>2162</Characters>
  <Application>Microsoft Office Word</Application>
  <DocSecurity>0</DocSecurity>
  <Lines>18</Lines>
  <Paragraphs>5</Paragraphs>
  <ScaleCrop>false</ScaleCrop>
  <Company>Microsoft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5</cp:revision>
  <dcterms:created xsi:type="dcterms:W3CDTF">2025-09-30T00:53:00Z</dcterms:created>
  <dcterms:modified xsi:type="dcterms:W3CDTF">2025-09-30T08:29:00Z</dcterms:modified>
</cp:coreProperties>
</file>