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377A0D" w:rsidRPr="00377A0D">
        <w:rPr>
          <w:rFonts w:hint="eastAsia"/>
          <w:b/>
          <w:sz w:val="30"/>
          <w:szCs w:val="30"/>
        </w:rPr>
        <w:t>幽门螺旋杆菌测试仪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710"/>
        <w:gridCol w:w="1559"/>
        <w:gridCol w:w="1559"/>
        <w:gridCol w:w="3686"/>
        <w:gridCol w:w="1134"/>
      </w:tblGrid>
      <w:tr w:rsidR="00AE443B" w:rsidRPr="00201A0C" w:rsidTr="006B1DE6">
        <w:trPr>
          <w:trHeight w:val="460"/>
        </w:trPr>
        <w:tc>
          <w:tcPr>
            <w:tcW w:w="710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59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3686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331BC" w:rsidRPr="00201A0C" w:rsidTr="00AF2EDB">
        <w:trPr>
          <w:trHeight w:val="634"/>
        </w:trPr>
        <w:tc>
          <w:tcPr>
            <w:tcW w:w="710" w:type="dxa"/>
          </w:tcPr>
          <w:p w:rsidR="006331BC" w:rsidRDefault="006331B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6331BC" w:rsidRPr="004B3EBF" w:rsidRDefault="006331BC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B501A">
              <w:rPr>
                <w:rFonts w:ascii="宋体" w:hAnsi="宋体" w:hint="eastAsia"/>
                <w:szCs w:val="21"/>
              </w:rPr>
              <w:t>幽门螺旋杆菌测试仪</w:t>
            </w:r>
          </w:p>
        </w:tc>
        <w:tc>
          <w:tcPr>
            <w:tcW w:w="1559" w:type="dxa"/>
          </w:tcPr>
          <w:p w:rsidR="006331BC" w:rsidRDefault="006331BC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3686" w:type="dxa"/>
          </w:tcPr>
          <w:p w:rsidR="006331BC" w:rsidRDefault="006331BC" w:rsidP="00427E64">
            <w:pPr>
              <w:pStyle w:val="a5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14C无淬灭标准源探测效率</w:t>
            </w:r>
            <w:r w:rsidRPr="006B1DE6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87%</w:t>
            </w:r>
          </w:p>
          <w:p w:rsidR="006331BC" w:rsidRPr="00633C9C" w:rsidRDefault="006331BC" w:rsidP="00427E6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14C本底的计数率</w:t>
            </w:r>
            <w:r w:rsidRPr="006B1DE6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60CPM</w:t>
            </w:r>
          </w:p>
        </w:tc>
        <w:tc>
          <w:tcPr>
            <w:tcW w:w="1134" w:type="dxa"/>
          </w:tcPr>
          <w:p w:rsidR="006331BC" w:rsidRPr="00DF0B37" w:rsidRDefault="006331BC" w:rsidP="007477D3">
            <w:pPr>
              <w:pStyle w:val="a5"/>
              <w:ind w:firstLineChars="15" w:firstLine="31"/>
              <w:rPr>
                <w:rFonts w:ascii="宋体" w:hAnsi="宋体"/>
                <w:szCs w:val="21"/>
              </w:rPr>
            </w:pPr>
            <w:r w:rsidRPr="00583E9F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AE443B" w:rsidRPr="00201A0C" w:rsidTr="006B1DE6">
        <w:trPr>
          <w:trHeight w:val="231"/>
        </w:trPr>
        <w:tc>
          <w:tcPr>
            <w:tcW w:w="710" w:type="dxa"/>
          </w:tcPr>
          <w:p w:rsidR="00AE443B" w:rsidRDefault="00BB131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BB1317" w:rsidRDefault="007E48A9" w:rsidP="007E48A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B501A">
              <w:rPr>
                <w:rFonts w:ascii="宋体" w:hAnsi="宋体" w:hint="eastAsia"/>
                <w:szCs w:val="21"/>
              </w:rPr>
              <w:t>电动间歇式牵引系统</w:t>
            </w:r>
          </w:p>
        </w:tc>
        <w:tc>
          <w:tcPr>
            <w:tcW w:w="1559" w:type="dxa"/>
          </w:tcPr>
          <w:p w:rsidR="00AE443B" w:rsidRDefault="007E48A9" w:rsidP="0077484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云龙分院1</w:t>
            </w:r>
            <w:r w:rsidR="00AE443B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3686" w:type="dxa"/>
          </w:tcPr>
          <w:p w:rsidR="00427E64" w:rsidRP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1、适用范围:</w:t>
            </w:r>
            <w:r w:rsidRPr="007477D3">
              <w:rPr>
                <w:rFonts w:hint="eastAsia"/>
                <w:sz w:val="18"/>
                <w:szCs w:val="18"/>
              </w:rPr>
              <w:t xml:space="preserve"> </w:t>
            </w:r>
            <w:r w:rsidRPr="007477D3">
              <w:rPr>
                <w:rFonts w:ascii="宋体" w:hAnsi="宋体" w:hint="eastAsia"/>
                <w:sz w:val="18"/>
                <w:szCs w:val="18"/>
              </w:rPr>
              <w:t>用于颈椎、腰椎病人治疗。</w:t>
            </w:r>
          </w:p>
          <w:p w:rsidR="00DF0B37" w:rsidRP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2、自动温热间歇牵引系统，可同时进行颈椎和腰椎牵引功能，床体内置加热功能，任意增减牵引力功能</w:t>
            </w:r>
          </w:p>
          <w:p w:rsidR="00DF0B37" w:rsidRP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3、牵引力的</w:t>
            </w:r>
            <w:proofErr w:type="gramStart"/>
            <w:r w:rsidRPr="007477D3">
              <w:rPr>
                <w:rFonts w:ascii="宋体" w:hAnsi="宋体" w:hint="eastAsia"/>
                <w:sz w:val="18"/>
                <w:szCs w:val="18"/>
              </w:rPr>
              <w:t>柔和启动</w:t>
            </w:r>
            <w:proofErr w:type="gramEnd"/>
            <w:r w:rsidRPr="007477D3">
              <w:rPr>
                <w:rFonts w:ascii="宋体" w:hAnsi="宋体" w:hint="eastAsia"/>
                <w:sz w:val="18"/>
                <w:szCs w:val="18"/>
              </w:rPr>
              <w:t>及缓慢停止功能</w:t>
            </w:r>
          </w:p>
          <w:p w:rsidR="00DF0B37" w:rsidRP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4、利于提示治疗结束及治疗过程的指示灯显示及治疗终止音</w:t>
            </w:r>
          </w:p>
          <w:p w:rsidR="00DF0B37" w:rsidRP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5、腰部加热部分采用床体凸凹截面设计</w:t>
            </w:r>
          </w:p>
          <w:p w:rsid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6、复合人体工程学设计的与床面成75度角的向上拉式腋下摆臂装置</w:t>
            </w:r>
          </w:p>
          <w:p w:rsidR="00DF0B37" w:rsidRPr="007477D3" w:rsidRDefault="007477D3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DF0B37" w:rsidRPr="007477D3">
              <w:rPr>
                <w:rFonts w:ascii="宋体" w:hAnsi="宋体" w:hint="eastAsia"/>
                <w:sz w:val="18"/>
                <w:szCs w:val="18"/>
              </w:rPr>
              <w:t>7、牵引过程中可任意增减牵引力，无需停机控制</w:t>
            </w:r>
          </w:p>
          <w:p w:rsidR="00DF0B37" w:rsidRPr="007477D3" w:rsidRDefault="00DF0B37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8</w:t>
            </w:r>
            <w:r w:rsidR="007477D3" w:rsidRPr="007477D3">
              <w:rPr>
                <w:rFonts w:ascii="宋体" w:hAnsi="宋体" w:hint="eastAsia"/>
                <w:sz w:val="18"/>
                <w:szCs w:val="18"/>
              </w:rPr>
              <w:t>、分量模仿功能，注重多角度、多层次的安全，异常情况出现立即自动调整牵引力</w:t>
            </w:r>
          </w:p>
          <w:p w:rsidR="007477D3" w:rsidRPr="007477D3" w:rsidRDefault="007477D3" w:rsidP="002F7C48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9、具备三种牵引模式（持续、间歇、节律）；</w:t>
            </w:r>
          </w:p>
          <w:p w:rsidR="007477D3" w:rsidRPr="00DF0B37" w:rsidRDefault="007477D3" w:rsidP="002F7C4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7477D3">
              <w:rPr>
                <w:rFonts w:ascii="宋体" w:hAnsi="宋体" w:hint="eastAsia"/>
                <w:sz w:val="18"/>
                <w:szCs w:val="18"/>
              </w:rPr>
              <w:t>10、节律牵引模式(50%、75%、100%)</w:t>
            </w:r>
          </w:p>
        </w:tc>
        <w:tc>
          <w:tcPr>
            <w:tcW w:w="1134" w:type="dxa"/>
          </w:tcPr>
          <w:p w:rsidR="00AE443B" w:rsidRDefault="007E48A9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19.5</w:t>
            </w:r>
            <w:r w:rsidR="00AE443B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7477D3" w:rsidRPr="00201A0C" w:rsidTr="006B1DE6">
        <w:trPr>
          <w:trHeight w:val="231"/>
        </w:trPr>
        <w:tc>
          <w:tcPr>
            <w:tcW w:w="710" w:type="dxa"/>
          </w:tcPr>
          <w:p w:rsidR="007477D3" w:rsidRDefault="007477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7477D3" w:rsidRDefault="007477D3" w:rsidP="00CD02B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B4A7D">
              <w:rPr>
                <w:rFonts w:ascii="宋体" w:hAnsi="宋体" w:hint="eastAsia"/>
                <w:szCs w:val="21"/>
              </w:rPr>
              <w:t>医用电子皮肤镜影像系统</w:t>
            </w:r>
          </w:p>
        </w:tc>
        <w:tc>
          <w:tcPr>
            <w:tcW w:w="1559" w:type="dxa"/>
          </w:tcPr>
          <w:p w:rsidR="007477D3" w:rsidRDefault="007477D3" w:rsidP="007477D3">
            <w:pPr>
              <w:rPr>
                <w:rFonts w:ascii="宋体" w:hAnsi="宋体"/>
                <w:szCs w:val="21"/>
              </w:rPr>
            </w:pPr>
            <w:r w:rsidRPr="00EE7334">
              <w:rPr>
                <w:rFonts w:ascii="宋体" w:hAnsi="宋体" w:hint="eastAsia"/>
                <w:sz w:val="18"/>
                <w:szCs w:val="18"/>
              </w:rPr>
              <w:t>总院</w:t>
            </w: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3686" w:type="dxa"/>
          </w:tcPr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1、适用于对人体皮肤进行放大观察与拍照。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2、拍摄方式：支持非偏振、偏振、浸润自由切换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3、偏振角度0-90可任意调整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4、CMOS传感器，像素≥1000万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5、采集分辨率不低于4K (3672x2754或3840x2160)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6、内置LED高亮度光源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7、光学变焦范围覆盖20x—100x，支持无极变倍功能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8、成像分辨力：放大等级20时，成像视觉分辨力不低于18线对/mm；放大等级220时，成像视觉分辨力不低于100线对/mm；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9、支持自动/手动对焦功能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适配多种镜头罩，支持不同皮损检测，以及指缝、耳背、外耳道、鼻腔等特殊部位。（介入镜头</w:t>
            </w:r>
            <w:proofErr w:type="gramStart"/>
            <w:r w:rsidRPr="003D1A40">
              <w:rPr>
                <w:rFonts w:ascii="宋体" w:hAnsi="宋体" w:hint="eastAsia"/>
                <w:sz w:val="18"/>
                <w:szCs w:val="18"/>
              </w:rPr>
              <w:t>罩支持</w:t>
            </w:r>
            <w:proofErr w:type="gramEnd"/>
            <w:r w:rsidRPr="003D1A40">
              <w:rPr>
                <w:rFonts w:ascii="宋体" w:hAnsi="宋体" w:hint="eastAsia"/>
                <w:sz w:val="18"/>
                <w:szCs w:val="18"/>
              </w:rPr>
              <w:t>标记活检部位、支持介入活检术功能，浸润镜头</w:t>
            </w:r>
            <w:proofErr w:type="gramStart"/>
            <w:r w:rsidRPr="003D1A40">
              <w:rPr>
                <w:rFonts w:ascii="宋体" w:hAnsi="宋体" w:hint="eastAsia"/>
                <w:sz w:val="18"/>
                <w:szCs w:val="18"/>
              </w:rPr>
              <w:t>罩支持</w:t>
            </w:r>
            <w:proofErr w:type="gramEnd"/>
            <w:r w:rsidRPr="003D1A40">
              <w:rPr>
                <w:rFonts w:ascii="宋体" w:hAnsi="宋体" w:hint="eastAsia"/>
                <w:sz w:val="18"/>
                <w:szCs w:val="18"/>
              </w:rPr>
              <w:t>刻度显示）。</w:t>
            </w:r>
          </w:p>
          <w:p w:rsidR="007477D3" w:rsidRPr="003D1A40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10、具备图像处理分析、实时图像增强、病</w:t>
            </w:r>
            <w:r w:rsidRPr="003D1A40">
              <w:rPr>
                <w:rFonts w:ascii="宋体" w:hAnsi="宋体" w:hint="eastAsia"/>
                <w:sz w:val="18"/>
                <w:szCs w:val="18"/>
              </w:rPr>
              <w:lastRenderedPageBreak/>
              <w:t>灶参数测量、病例匹配、结构化报告生成。提供“三分法”、“七分法”、“</w:t>
            </w:r>
            <w:proofErr w:type="spellStart"/>
            <w:r w:rsidRPr="003D1A40">
              <w:rPr>
                <w:rFonts w:ascii="宋体" w:hAnsi="宋体" w:hint="eastAsia"/>
                <w:sz w:val="18"/>
                <w:szCs w:val="18"/>
              </w:rPr>
              <w:t>Menzies</w:t>
            </w:r>
            <w:proofErr w:type="spellEnd"/>
            <w:r w:rsidRPr="003D1A40">
              <w:rPr>
                <w:rFonts w:ascii="宋体" w:hAnsi="宋体" w:hint="eastAsia"/>
                <w:sz w:val="18"/>
                <w:szCs w:val="18"/>
              </w:rPr>
              <w:t>’11分法”、“ABCD法”、“模式法”、“CASH”6种模式21种分析方法等科研分析功能。</w:t>
            </w:r>
          </w:p>
          <w:p w:rsidR="007477D3" w:rsidRDefault="007477D3" w:rsidP="007477D3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3D1A40">
              <w:rPr>
                <w:rFonts w:ascii="宋体" w:hAnsi="宋体" w:hint="eastAsia"/>
                <w:sz w:val="18"/>
                <w:szCs w:val="18"/>
              </w:rPr>
              <w:t>11、提供头皮毛发模式分析法：支持精简分析和精细分析，支持终毛、粗发、中间发、细发、毳毛自动和手动两种计数方式，支持直径测量和平均值测量</w:t>
            </w:r>
          </w:p>
        </w:tc>
        <w:tc>
          <w:tcPr>
            <w:tcW w:w="1134" w:type="dxa"/>
          </w:tcPr>
          <w:p w:rsidR="007477D3" w:rsidRDefault="00583E9F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23万元</w:t>
            </w:r>
          </w:p>
        </w:tc>
      </w:tr>
      <w:tr w:rsidR="007477D3" w:rsidRPr="00201A0C" w:rsidTr="006B1DE6">
        <w:trPr>
          <w:trHeight w:val="231"/>
        </w:trPr>
        <w:tc>
          <w:tcPr>
            <w:tcW w:w="710" w:type="dxa"/>
          </w:tcPr>
          <w:p w:rsidR="007477D3" w:rsidRDefault="007477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559" w:type="dxa"/>
          </w:tcPr>
          <w:p w:rsidR="007477D3" w:rsidRDefault="007477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超声喷砂牙周治疗仪</w:t>
            </w:r>
          </w:p>
        </w:tc>
        <w:tc>
          <w:tcPr>
            <w:tcW w:w="1559" w:type="dxa"/>
          </w:tcPr>
          <w:p w:rsidR="007477D3" w:rsidRPr="00EE7334" w:rsidRDefault="007477D3" w:rsidP="002F7C48">
            <w:pPr>
              <w:rPr>
                <w:rFonts w:ascii="宋体" w:hAnsi="宋体"/>
                <w:sz w:val="18"/>
                <w:szCs w:val="18"/>
              </w:rPr>
            </w:pPr>
            <w:r w:rsidRPr="00EE7334">
              <w:rPr>
                <w:rFonts w:ascii="宋体" w:hAnsi="宋体" w:hint="eastAsia"/>
                <w:sz w:val="18"/>
                <w:szCs w:val="18"/>
              </w:rPr>
              <w:t>总院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EE7334">
              <w:rPr>
                <w:rFonts w:ascii="宋体" w:hAnsi="宋体" w:hint="eastAsia"/>
                <w:sz w:val="18"/>
                <w:szCs w:val="18"/>
              </w:rPr>
              <w:t>台</w:t>
            </w:r>
          </w:p>
          <w:p w:rsidR="007477D3" w:rsidRDefault="007477D3" w:rsidP="002F7C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</w:tcPr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1、具备超声洁治和喷砂抛光双功能，可一体化或分体式操作。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2、适用于牙周治疗（如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龈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上洁治、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龈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下刮治、根面平整）及 牙齿喷砂抛光。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3、支持多种工作模式（如连续/脉冲超声）。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4、功率可调（适配不同牙结石硬度）。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5、喷砂颗粒：兼容甘氨酸粉、碳酸氢钠粉，颗粒直径≤65μm，减少牙本质敏感。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6、具备独立水气调节功能，避免过热或喷砂过度干燥。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7、配备过载保护和自动断电功能，确保设备安全。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8、低噪音设计（≤60dB）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9、可拆卸消毒手柄/工作尖，支持高温高压灭菌（≥135℃）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配置要求：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1、超声手柄：≥5个。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2、超声工作尖：至少包含通用型、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龈下型各5个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（钛合金材质或适用于种植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体维护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工作尖 ）（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龈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下</w:t>
            </w:r>
            <w:proofErr w:type="gramStart"/>
            <w:r w:rsidRPr="00171FBE">
              <w:rPr>
                <w:rFonts w:ascii="宋体" w:hAnsi="宋体" w:hint="eastAsia"/>
                <w:sz w:val="18"/>
                <w:szCs w:val="18"/>
              </w:rPr>
              <w:t>型按整套</w:t>
            </w:r>
            <w:proofErr w:type="gramEnd"/>
            <w:r w:rsidRPr="00171FBE">
              <w:rPr>
                <w:rFonts w:ascii="宋体" w:hAnsi="宋体" w:hint="eastAsia"/>
                <w:sz w:val="18"/>
                <w:szCs w:val="18"/>
              </w:rPr>
              <w:t>配置，常用的型号一套三个工作尖。）</w:t>
            </w:r>
          </w:p>
          <w:p w:rsidR="007477D3" w:rsidRPr="00171FBE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3、喷砂手柄配备不同角度（如0°、45°）：至少2个，喷嘴适当数量增加。</w:t>
            </w:r>
          </w:p>
          <w:p w:rsidR="007477D3" w:rsidRDefault="007477D3" w:rsidP="00DB501A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171FBE">
              <w:rPr>
                <w:rFonts w:ascii="宋体" w:hAnsi="宋体" w:hint="eastAsia"/>
                <w:sz w:val="18"/>
                <w:szCs w:val="18"/>
              </w:rPr>
              <w:t>4、喷砂粉：三种颗粒度各5瓶。</w:t>
            </w:r>
          </w:p>
        </w:tc>
        <w:tc>
          <w:tcPr>
            <w:tcW w:w="1134" w:type="dxa"/>
          </w:tcPr>
          <w:p w:rsidR="007477D3" w:rsidRDefault="007477D3" w:rsidP="0077484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4万元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15A0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A90038" w:rsidRPr="00947895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61D93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32B5F"/>
    <w:rsid w:val="00141F17"/>
    <w:rsid w:val="001451F4"/>
    <w:rsid w:val="0014691B"/>
    <w:rsid w:val="0015297E"/>
    <w:rsid w:val="0016352E"/>
    <w:rsid w:val="00165D74"/>
    <w:rsid w:val="001752A1"/>
    <w:rsid w:val="001768E2"/>
    <w:rsid w:val="00180E7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5202A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731D"/>
    <w:rsid w:val="002C5B06"/>
    <w:rsid w:val="002C79E7"/>
    <w:rsid w:val="002D0664"/>
    <w:rsid w:val="002E662C"/>
    <w:rsid w:val="002F6F76"/>
    <w:rsid w:val="002F7C48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77A0D"/>
    <w:rsid w:val="003855C8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E744D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51E34"/>
    <w:rsid w:val="004574E6"/>
    <w:rsid w:val="004613F6"/>
    <w:rsid w:val="00461D00"/>
    <w:rsid w:val="004626EA"/>
    <w:rsid w:val="004662C7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4BCC"/>
    <w:rsid w:val="004F70B2"/>
    <w:rsid w:val="005017F8"/>
    <w:rsid w:val="00512F76"/>
    <w:rsid w:val="005136AA"/>
    <w:rsid w:val="00516258"/>
    <w:rsid w:val="00524EC7"/>
    <w:rsid w:val="0052719A"/>
    <w:rsid w:val="00540827"/>
    <w:rsid w:val="00557777"/>
    <w:rsid w:val="0057336B"/>
    <w:rsid w:val="00580F49"/>
    <w:rsid w:val="00583E9F"/>
    <w:rsid w:val="00593DAC"/>
    <w:rsid w:val="00594565"/>
    <w:rsid w:val="00596C8A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331BC"/>
    <w:rsid w:val="00633C9C"/>
    <w:rsid w:val="00640101"/>
    <w:rsid w:val="006416D8"/>
    <w:rsid w:val="00663E88"/>
    <w:rsid w:val="006643E6"/>
    <w:rsid w:val="006661B7"/>
    <w:rsid w:val="00666A9C"/>
    <w:rsid w:val="0067074E"/>
    <w:rsid w:val="00675D36"/>
    <w:rsid w:val="00682E75"/>
    <w:rsid w:val="006855BD"/>
    <w:rsid w:val="006867BC"/>
    <w:rsid w:val="00686DB2"/>
    <w:rsid w:val="00696851"/>
    <w:rsid w:val="006978D0"/>
    <w:rsid w:val="006A1E8F"/>
    <w:rsid w:val="006A48EE"/>
    <w:rsid w:val="006B1DE6"/>
    <w:rsid w:val="006B6EDD"/>
    <w:rsid w:val="006C34AF"/>
    <w:rsid w:val="006C70CF"/>
    <w:rsid w:val="006D38CD"/>
    <w:rsid w:val="006D7D77"/>
    <w:rsid w:val="006E2A7C"/>
    <w:rsid w:val="006E2E74"/>
    <w:rsid w:val="006E58B1"/>
    <w:rsid w:val="006E6C12"/>
    <w:rsid w:val="006F1017"/>
    <w:rsid w:val="006F47E7"/>
    <w:rsid w:val="006F5E60"/>
    <w:rsid w:val="00712740"/>
    <w:rsid w:val="007204C4"/>
    <w:rsid w:val="007248B0"/>
    <w:rsid w:val="00731796"/>
    <w:rsid w:val="0073696A"/>
    <w:rsid w:val="007477D3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48A9"/>
    <w:rsid w:val="007F5978"/>
    <w:rsid w:val="00803D10"/>
    <w:rsid w:val="00804604"/>
    <w:rsid w:val="008139C4"/>
    <w:rsid w:val="00814AA6"/>
    <w:rsid w:val="0081586B"/>
    <w:rsid w:val="00816643"/>
    <w:rsid w:val="00820B18"/>
    <w:rsid w:val="008406CB"/>
    <w:rsid w:val="008479D3"/>
    <w:rsid w:val="0085033E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C709D"/>
    <w:rsid w:val="009D4ED1"/>
    <w:rsid w:val="009E0112"/>
    <w:rsid w:val="009F023F"/>
    <w:rsid w:val="009F4585"/>
    <w:rsid w:val="009F459D"/>
    <w:rsid w:val="00A20482"/>
    <w:rsid w:val="00A27DC0"/>
    <w:rsid w:val="00A312B7"/>
    <w:rsid w:val="00A403CA"/>
    <w:rsid w:val="00A475CC"/>
    <w:rsid w:val="00A53D4A"/>
    <w:rsid w:val="00A65A2F"/>
    <w:rsid w:val="00A7450C"/>
    <w:rsid w:val="00A90038"/>
    <w:rsid w:val="00A92C48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2D2"/>
    <w:rsid w:val="00AE59E7"/>
    <w:rsid w:val="00B05799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465E2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3366"/>
    <w:rsid w:val="00DB501A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B37"/>
    <w:rsid w:val="00DF2D2C"/>
    <w:rsid w:val="00DF65DC"/>
    <w:rsid w:val="00E050CA"/>
    <w:rsid w:val="00E0637A"/>
    <w:rsid w:val="00E13680"/>
    <w:rsid w:val="00E14140"/>
    <w:rsid w:val="00E142A3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F0B76"/>
    <w:rsid w:val="00EF105B"/>
    <w:rsid w:val="00F01B6F"/>
    <w:rsid w:val="00F07A58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1D93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7</cp:revision>
  <dcterms:created xsi:type="dcterms:W3CDTF">2025-07-04T03:33:00Z</dcterms:created>
  <dcterms:modified xsi:type="dcterms:W3CDTF">2025-07-04T07:43:00Z</dcterms:modified>
</cp:coreProperties>
</file>