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EC" w:rsidRDefault="00FA1EEC" w:rsidP="00FA1EEC">
      <w:pPr>
        <w:ind w:firstLineChars="0" w:firstLine="0"/>
        <w:outlineLvl w:val="1"/>
        <w:rPr>
          <w:rFonts w:ascii="宋体" w:hAnsi="宋体"/>
          <w:b/>
        </w:rPr>
      </w:pPr>
      <w:bookmarkStart w:id="0" w:name="_Toc470799565"/>
      <w:r>
        <w:rPr>
          <w:rFonts w:ascii="宋体" w:hAnsi="宋体" w:cs="宋体" w:hint="eastAsia"/>
          <w:b/>
          <w:bCs/>
        </w:rPr>
        <w:t>项目技术要求：</w:t>
      </w:r>
    </w:p>
    <w:tbl>
      <w:tblPr>
        <w:tblStyle w:val="a5"/>
        <w:tblW w:w="8523" w:type="dxa"/>
        <w:tblLook w:val="04A0"/>
      </w:tblPr>
      <w:tblGrid>
        <w:gridCol w:w="1290"/>
        <w:gridCol w:w="7233"/>
      </w:tblGrid>
      <w:tr w:rsidR="00FA1EEC" w:rsidTr="00F475A6">
        <w:tc>
          <w:tcPr>
            <w:tcW w:w="1290" w:type="dxa"/>
          </w:tcPr>
          <w:bookmarkEnd w:id="0"/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序号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功能描述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1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清洗流程登记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1.1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通过非接触式RFID技术，获取每条内镜测漏、清洗、漂洗、消毒、终末漂洗、干燥等各步骤的实时数据记录。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1.2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采集相关设备信息、操作人员信息和诊疗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间病人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信息并将相关数据记录系统中。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1.3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记录每次消毒液浓度测试检测人和检测结果信息，并对测试纸拍照存档。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1.4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管理镜子维修情况，记录每个镜子每次的维修信息（维修原因、维修时间、返回时间等），并对维修报告拍照存档。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14954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 w:rsidRPr="00F14954"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▲</w:t>
            </w:r>
            <w:r w:rsidR="00FA1EEC"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1.5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记录每次消毒液更换时的设备、消毒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液信息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和更换人信息以供备查，可根据不同消毒液类别，对各个消毒槽或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洗消机设置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浸泡次数过半或消毒液天数过半提醒，以确保消毒灭菌的效果；可回溯每次消毒液更换后镜子消毒根数，以确保消毒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液合理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使用节约科室成本。（提供截图佐证）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1.6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可在系统上登记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送供应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室灭菌的内镜灭菌条码编号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以及效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期等信息，并对灭菌包拍照存档，且灭菌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包拥有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独立监控界面。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1.7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登记后的维修中内镜和当日已使用未测漏内镜可在监控界面直观显。（提供截图佐证）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2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清洗预警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（提供截图佐证）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2.1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支持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洗消间电视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显示器语音播报显示当前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洗消间洗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消数据，支气管镜、胃肠内镜监控界面独立显示。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14954" w:rsidP="00F14954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 w:rsidRPr="00F14954"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▲</w:t>
            </w:r>
            <w:r w:rsidR="00FA1EEC"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2.2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清洗步骤的清洗时间小于预定值，警报提示，并有颜色标识。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2.3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监控界面所有信息为可视化动态显示。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2.4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显示内镜当前的清洗状态以及洗消点定位。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3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清洗方式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3.1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支持手工清洗、机洗（兼容）。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3.2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手工清洗，可设置清洗时的清洗步骤。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4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使用登记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4.1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记录使用过程中，使用开始时间、使用结束时间、医生、护士、内镜、检查台、病人信息等。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14954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 w:rsidRPr="00F14954"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▲</w:t>
            </w:r>
            <w:r w:rsidR="00FA1EEC"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4.2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确保安全，内镜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在诊间未被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使用与被使用在监控界面应有明显颜色标记。（提供截图佐证）</w:t>
            </w:r>
          </w:p>
        </w:tc>
      </w:tr>
      <w:tr w:rsidR="00FA1EEC" w:rsidTr="00F475A6">
        <w:tc>
          <w:tcPr>
            <w:tcW w:w="1290" w:type="dxa"/>
          </w:tcPr>
          <w:p w:rsidR="00FA1EEC" w:rsidRDefault="00F14954" w:rsidP="00F14954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 w:rsidRPr="00F14954"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▲</w:t>
            </w:r>
            <w:r w:rsidR="00FA1EEC"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5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使用预警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（提供截图佐证）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5.1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内镜消毒不合格，或未消毒，不允许给病人使用，警报提示。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5.2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当洗消流程错误时，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洗消间实时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语音播报错误情况并提示正确操作步骤；当时间不够时，实时提示当前流程剩余所需操作时长。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5.3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追溯系统可根据医院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院感要求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设置各洗消流程顺序以及各流程必要时间。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6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清洗记录查询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lastRenderedPageBreak/>
              <w:t>6.1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数据记录界面，记录每条洗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消记录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的关键信息，详细信息可选择性查看，包含了步骤名称、时间、清洗人等信息。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6.2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机洗可查询一定时间段内各机器洗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消数量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分布。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6.3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可查询一定时间段内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各镜种的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洗消数量。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6.4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显示每个清洗步骤的清洗时间、耗时、洗消人员工号等。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7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内镜回溯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7.1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回溯每个内镜所有的清洗、使用记录。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14954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 w:rsidRPr="00F14954"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▲</w:t>
            </w:r>
            <w:r w:rsidR="00FA1EEC"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7.2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显示内镜当前的清洗状态以及洗消点定位。（提供截图佐证）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7.3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可查看和管理所有内镜的状态和当前位置。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8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数据查询统计与管理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8.1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jc w:val="left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病人使用查询：根据病人信息，查询病人的内镜使用信息，对接内镜报告系统，获取病人、医生、操作护士等信息。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8.2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内镜使用查询：可查询每个内镜有多少病人使用，及使用的详细信息。可查询一段时间内，有多少病人使用内镜，及使用的详细信息。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8.3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清洗工作量统计：查询一段时间内，清洗护士洗消工作量。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8.4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设备信息、内镜、清洗设备、读卡器，洗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消人员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信息的录入和查询。可对内镜洗消量、员工工作量、诊疗量等数据进行统计。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8.5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可填写各项监测记录。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8.6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简易的内镜卡和人员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卡维护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界面，方便科室自主增加修改内镜卡和人员卡。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8.7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系统支持多院区管理，多院区可按统一标准执行。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9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b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镜房管理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（提供截图佐证）</w:t>
            </w:r>
          </w:p>
        </w:tc>
      </w:tr>
      <w:tr w:rsidR="00FA1EEC" w:rsidTr="00F475A6">
        <w:tc>
          <w:tcPr>
            <w:tcW w:w="1290" w:type="dxa"/>
            <w:shd w:val="clear" w:color="auto" w:fill="auto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9.1</w:t>
            </w:r>
          </w:p>
        </w:tc>
        <w:tc>
          <w:tcPr>
            <w:tcW w:w="7233" w:type="dxa"/>
            <w:shd w:val="clear" w:color="auto" w:fill="auto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支持管理内镜库房信息，记录内镜进出储镜柜时间并设置各储镜柜有效期，出柜时超出有效期则语音提示并在诊疗间拦截使用。</w:t>
            </w:r>
          </w:p>
        </w:tc>
      </w:tr>
      <w:tr w:rsidR="00FA1EEC" w:rsidTr="00F475A6">
        <w:tc>
          <w:tcPr>
            <w:tcW w:w="1290" w:type="dxa"/>
            <w:shd w:val="clear" w:color="auto" w:fill="auto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9.2</w:t>
            </w:r>
          </w:p>
        </w:tc>
        <w:tc>
          <w:tcPr>
            <w:tcW w:w="7233" w:type="dxa"/>
            <w:shd w:val="clear" w:color="auto" w:fill="auto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支持内镜库房独立监控界面，可在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镜房显示且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语音播报内镜出入记录。</w:t>
            </w:r>
          </w:p>
        </w:tc>
      </w:tr>
      <w:tr w:rsidR="00FA1EEC" w:rsidTr="00F475A6">
        <w:trPr>
          <w:trHeight w:val="339"/>
        </w:trPr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8"/>
              <w:jc w:val="center"/>
              <w:rPr>
                <w:rFonts w:ascii="微软雅黑" w:eastAsia="微软雅黑" w:hAnsi="微软雅黑" w:cs="微软雅黑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 w:val="22"/>
                <w:szCs w:val="22"/>
              </w:rPr>
              <w:t>10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="微软雅黑" w:eastAsiaTheme="minorEastAsia" w:hAnsi="微软雅黑" w:cs="微软雅黑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11"/>
                <w:sz w:val="22"/>
                <w:szCs w:val="22"/>
              </w:rPr>
              <w:t>系统集成与网络安全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="微软雅黑" w:eastAsia="微软雅黑" w:hAnsi="微软雅黑" w:cs="微软雅黑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★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10.1</w:t>
            </w:r>
          </w:p>
        </w:tc>
        <w:tc>
          <w:tcPr>
            <w:tcW w:w="7233" w:type="dxa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与浙江省医疗机构传染病防治依法执业合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平台对接。与医院内镜系统以及HIS系统对接。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="微软雅黑" w:eastAsia="微软雅黑" w:hAnsi="微软雅黑" w:cs="微软雅黑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10.2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kern w:val="2"/>
                <w:sz w:val="22"/>
                <w:szCs w:val="22"/>
              </w:rPr>
              <w:t>支持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kern w:val="2"/>
                <w:sz w:val="22"/>
                <w:szCs w:val="22"/>
              </w:rPr>
              <w:t>诊疗间刷内镜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kern w:val="2"/>
                <w:sz w:val="22"/>
                <w:szCs w:val="22"/>
              </w:rPr>
              <w:t>卡时智能判断当前镜子洗消流程是否合格，若不合格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kern w:val="2"/>
                <w:sz w:val="22"/>
                <w:szCs w:val="22"/>
              </w:rPr>
              <w:t>则弹窗提示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kern w:val="2"/>
                <w:sz w:val="22"/>
                <w:szCs w:val="22"/>
              </w:rPr>
              <w:t>，并显示不合格原因。</w:t>
            </w:r>
          </w:p>
        </w:tc>
      </w:tr>
      <w:tr w:rsidR="00FA1EEC" w:rsidTr="00F475A6">
        <w:tc>
          <w:tcPr>
            <w:tcW w:w="1290" w:type="dxa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10.3</w:t>
            </w:r>
          </w:p>
        </w:tc>
        <w:tc>
          <w:tcPr>
            <w:tcW w:w="7233" w:type="dxa"/>
          </w:tcPr>
          <w:p w:rsidR="00FA1EEC" w:rsidRDefault="00FA1EEC" w:rsidP="00F475A6">
            <w:pPr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可设置采集模块白名单，保</w:t>
            </w:r>
            <w:bookmarkStart w:id="1" w:name="_GoBack"/>
            <w:bookmarkEnd w:id="1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障医院网络数据安全</w:t>
            </w:r>
          </w:p>
        </w:tc>
      </w:tr>
      <w:tr w:rsidR="00FA1EEC" w:rsidTr="00F475A6">
        <w:tc>
          <w:tcPr>
            <w:tcW w:w="1290" w:type="dxa"/>
            <w:shd w:val="clear" w:color="auto" w:fill="auto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Cs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10.4</w:t>
            </w:r>
          </w:p>
        </w:tc>
        <w:tc>
          <w:tcPr>
            <w:tcW w:w="7233" w:type="dxa"/>
            <w:shd w:val="clear" w:color="auto" w:fill="auto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支持采集医院现有全自动洗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消机实时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运行数据并记录到追溯系统中。</w:t>
            </w:r>
          </w:p>
        </w:tc>
      </w:tr>
      <w:tr w:rsidR="00FA1EEC" w:rsidTr="00F475A6">
        <w:tc>
          <w:tcPr>
            <w:tcW w:w="1290" w:type="dxa"/>
            <w:shd w:val="clear" w:color="auto" w:fill="auto"/>
          </w:tcPr>
          <w:p w:rsidR="00FA1EEC" w:rsidRDefault="00FA1EEC" w:rsidP="00F475A6">
            <w:pPr>
              <w:spacing w:line="360" w:lineRule="exact"/>
              <w:ind w:firstLine="396"/>
              <w:jc w:val="center"/>
              <w:rPr>
                <w:rFonts w:asciiTheme="minorEastAsia" w:eastAsiaTheme="minorEastAsia" w:hAnsiTheme="minorEastAsia" w:cstheme="minorEastAsia"/>
                <w:b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11"/>
                <w:sz w:val="22"/>
                <w:szCs w:val="22"/>
              </w:rPr>
              <w:t>10.5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FA1EEC" w:rsidRDefault="00FA1EEC" w:rsidP="00F475A6">
            <w:pPr>
              <w:pStyle w:val="a6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/>
                <w:spacing w:val="-1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医院信创硬件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平台建立后，支持将系统迁移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至信创系统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，软件系统需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满足国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家信创操作系统、服务器、CPU适配要求。（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提供信创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1"/>
                <w:sz w:val="22"/>
                <w:szCs w:val="22"/>
              </w:rPr>
              <w:t>适配证书佐证）</w:t>
            </w:r>
          </w:p>
        </w:tc>
      </w:tr>
    </w:tbl>
    <w:p w:rsidR="00C66783" w:rsidRPr="00FA1EEC" w:rsidRDefault="00F14954" w:rsidP="00F14954">
      <w:pPr>
        <w:ind w:firstLine="396"/>
      </w:pPr>
      <w:r>
        <w:rPr>
          <w:rFonts w:asciiTheme="minorEastAsia" w:eastAsiaTheme="minorEastAsia" w:hAnsiTheme="minorEastAsia" w:cstheme="minorEastAsia" w:hint="eastAsia"/>
          <w:spacing w:val="-11"/>
          <w:sz w:val="22"/>
          <w:szCs w:val="22"/>
        </w:rPr>
        <w:t>注：带★号的参数不能偏离，否则作无效标处理。</w:t>
      </w:r>
    </w:p>
    <w:sectPr w:rsidR="00C66783" w:rsidRPr="00FA1EEC" w:rsidSect="00E35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EEC" w:rsidRDefault="00FA1EEC" w:rsidP="00FA1EEC">
      <w:pPr>
        <w:spacing w:line="240" w:lineRule="auto"/>
        <w:ind w:firstLine="480"/>
      </w:pPr>
      <w:r>
        <w:separator/>
      </w:r>
    </w:p>
  </w:endnote>
  <w:endnote w:type="continuationSeparator" w:id="0">
    <w:p w:rsidR="00FA1EEC" w:rsidRDefault="00FA1EEC" w:rsidP="00FA1EE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54" w:rsidRDefault="00F149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54" w:rsidRDefault="00F1495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54" w:rsidRDefault="00F149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EEC" w:rsidRDefault="00FA1EEC" w:rsidP="00FA1EEC">
      <w:pPr>
        <w:spacing w:line="240" w:lineRule="auto"/>
        <w:ind w:firstLine="480"/>
      </w:pPr>
      <w:r>
        <w:separator/>
      </w:r>
    </w:p>
  </w:footnote>
  <w:footnote w:type="continuationSeparator" w:id="0">
    <w:p w:rsidR="00FA1EEC" w:rsidRDefault="00FA1EEC" w:rsidP="00FA1EE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54" w:rsidRDefault="00F149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54" w:rsidRDefault="00F1495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54" w:rsidRDefault="00F149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EEC"/>
    <w:rsid w:val="005A6CE1"/>
    <w:rsid w:val="008707E3"/>
    <w:rsid w:val="00E35D84"/>
    <w:rsid w:val="00F14954"/>
    <w:rsid w:val="00F61BC9"/>
    <w:rsid w:val="00FA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EC"/>
    <w:pPr>
      <w:widowControl w:val="0"/>
      <w:spacing w:line="360" w:lineRule="auto"/>
      <w:ind w:firstLineChars="200" w:firstLine="723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E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EE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EEC"/>
    <w:rPr>
      <w:sz w:val="18"/>
      <w:szCs w:val="18"/>
    </w:rPr>
  </w:style>
  <w:style w:type="table" w:styleId="a5">
    <w:name w:val="Table Grid"/>
    <w:basedOn w:val="a1"/>
    <w:qFormat/>
    <w:rsid w:val="00FA1EE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autoRedefine/>
    <w:uiPriority w:val="34"/>
    <w:qFormat/>
    <w:rsid w:val="00FA1EEC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</cp:revision>
  <dcterms:created xsi:type="dcterms:W3CDTF">2025-06-26T03:14:00Z</dcterms:created>
  <dcterms:modified xsi:type="dcterms:W3CDTF">2025-07-01T07:23:00Z</dcterms:modified>
</cp:coreProperties>
</file>