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4D" w:rsidRDefault="00E10ABE">
      <w:pPr>
        <w:spacing w:line="600" w:lineRule="exact"/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宁波大学附属人民医院内镜追溯系统升级项目院内议标公告</w:t>
      </w:r>
    </w:p>
    <w:p w:rsidR="00187E4D" w:rsidRDefault="00E10ABE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一、议标品目：</w:t>
      </w:r>
    </w:p>
    <w:tbl>
      <w:tblPr>
        <w:tblStyle w:val="a8"/>
        <w:tblW w:w="8364" w:type="dxa"/>
        <w:tblInd w:w="108" w:type="dxa"/>
        <w:tblLook w:val="04A0"/>
      </w:tblPr>
      <w:tblGrid>
        <w:gridCol w:w="851"/>
        <w:gridCol w:w="3402"/>
        <w:gridCol w:w="709"/>
        <w:gridCol w:w="1417"/>
        <w:gridCol w:w="1985"/>
      </w:tblGrid>
      <w:tr w:rsidR="00187E4D">
        <w:tc>
          <w:tcPr>
            <w:tcW w:w="851" w:type="dxa"/>
          </w:tcPr>
          <w:p w:rsidR="00187E4D" w:rsidRDefault="00E10AB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</w:tcPr>
          <w:p w:rsidR="00187E4D" w:rsidRDefault="00E10AB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9" w:type="dxa"/>
          </w:tcPr>
          <w:p w:rsidR="00187E4D" w:rsidRDefault="00E10AB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:rsidR="00187E4D" w:rsidRDefault="00E10AB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项目要求</w:t>
            </w:r>
          </w:p>
        </w:tc>
        <w:tc>
          <w:tcPr>
            <w:tcW w:w="1985" w:type="dxa"/>
          </w:tcPr>
          <w:p w:rsidR="00187E4D" w:rsidRDefault="00E10AB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最高限价</w:t>
            </w:r>
          </w:p>
          <w:p w:rsidR="00187E4D" w:rsidRDefault="00187E4D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187E4D">
        <w:tc>
          <w:tcPr>
            <w:tcW w:w="851" w:type="dxa"/>
            <w:vAlign w:val="center"/>
          </w:tcPr>
          <w:p w:rsidR="00187E4D" w:rsidRDefault="00E10AB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187E4D" w:rsidRDefault="00E10ABE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内镜</w:t>
            </w:r>
            <w:r>
              <w:rPr>
                <w:rFonts w:ascii="宋体" w:hAnsi="宋体" w:cs="Times New Roman" w:hint="eastAsia"/>
                <w:szCs w:val="21"/>
              </w:rPr>
              <w:t>追溯系统升级（含内镜工作系统接口</w:t>
            </w:r>
            <w:r>
              <w:rPr>
                <w:rFonts w:ascii="宋体" w:eastAsia="宋体" w:hAnsi="宋体" w:cs="Times New Roman" w:hint="eastAsia"/>
                <w:szCs w:val="21"/>
              </w:rPr>
              <w:t>及配套硬件）</w:t>
            </w:r>
          </w:p>
        </w:tc>
        <w:tc>
          <w:tcPr>
            <w:tcW w:w="709" w:type="dxa"/>
            <w:vAlign w:val="center"/>
          </w:tcPr>
          <w:p w:rsidR="00187E4D" w:rsidRDefault="00E10AB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1项</w:t>
            </w:r>
          </w:p>
        </w:tc>
        <w:tc>
          <w:tcPr>
            <w:tcW w:w="1417" w:type="dxa"/>
            <w:vAlign w:val="center"/>
          </w:tcPr>
          <w:p w:rsidR="00187E4D" w:rsidRDefault="00E10AB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985" w:type="dxa"/>
            <w:vAlign w:val="center"/>
          </w:tcPr>
          <w:p w:rsidR="00187E4D" w:rsidRDefault="00E10ABE">
            <w:pPr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11.65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187E4D" w:rsidRDefault="00E10ABE">
      <w:pPr>
        <w:outlineLvl w:val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二、项目概况：</w:t>
      </w:r>
    </w:p>
    <w:p w:rsidR="00187E4D" w:rsidRDefault="00E10ABE" w:rsidP="00F710A1">
      <w:pPr>
        <w:spacing w:beforeLines="50" w:line="360" w:lineRule="auto"/>
        <w:ind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要求系统对内镜的处理过程进行每个环节的记录和追溯，保证内镜清洗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消毒全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流程安全的同时，必须保证追溯到每个检查床位及使用患者。</w:t>
      </w:r>
    </w:p>
    <w:p w:rsidR="00187E4D" w:rsidRDefault="00E10ABE" w:rsidP="00F710A1">
      <w:pPr>
        <w:spacing w:beforeLines="50" w:line="360" w:lineRule="auto"/>
        <w:ind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要求全面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追溯全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科室内镜清洗、消毒、存储、使用全过程，并能全面地实时监控大型清洗消毒、存储设备运行情况，要求追溯系统与内镜中心现有大型清洗消毒、存储设备进行数据集成，实现设备数据在追溯系统中实时展现、实时保存并可随时根据要求调阅及打印。PASS使用接口集成，要求实现内镜使用信息与病人信息完整信息化相结合过程。建立各镜子清洗消毒作业与具体使用患者关联，实现横向、纵向追溯闭环，符合内镜质控追溯要求、省合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规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平台要求。</w:t>
      </w:r>
    </w:p>
    <w:p w:rsidR="00187E4D" w:rsidRDefault="00E10ABE">
      <w:pPr>
        <w:spacing w:line="360" w:lineRule="auto"/>
        <w:ind w:firstLineChars="200" w:firstLine="480"/>
        <w:outlineLvl w:val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配套硬件：不少于配套数据采集读卡器92个，物联网网关7个，内镜识别IC卡220张,人员识别IC卡手环30个。</w:t>
      </w:r>
    </w:p>
    <w:p w:rsidR="00187E4D" w:rsidRDefault="00E10ABE">
      <w:pPr>
        <w:outlineLvl w:val="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三、项目清单要求：</w:t>
      </w:r>
    </w:p>
    <w:tbl>
      <w:tblPr>
        <w:tblpPr w:leftFromText="180" w:rightFromText="180" w:vertAnchor="text" w:horzAnchor="page" w:tblpX="1388" w:tblpY="152"/>
        <w:tblOverlap w:val="never"/>
        <w:tblW w:w="54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1340"/>
        <w:gridCol w:w="843"/>
        <w:gridCol w:w="5468"/>
      </w:tblGrid>
      <w:tr w:rsidR="00187E4D">
        <w:trPr>
          <w:trHeight w:hRule="exact" w:val="766"/>
        </w:trPr>
        <w:tc>
          <w:tcPr>
            <w:tcW w:w="910" w:type="pct"/>
            <w:vAlign w:val="center"/>
          </w:tcPr>
          <w:p w:rsidR="00187E4D" w:rsidRDefault="00E10ABE">
            <w:pPr>
              <w:ind w:firstLine="482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</w:t>
            </w:r>
          </w:p>
        </w:tc>
        <w:tc>
          <w:tcPr>
            <w:tcW w:w="716" w:type="pct"/>
            <w:vAlign w:val="center"/>
          </w:tcPr>
          <w:p w:rsidR="00187E4D" w:rsidRDefault="00E10ABE">
            <w:pPr>
              <w:jc w:val="center"/>
              <w:rPr>
                <w:rFonts w:ascii="宋体" w:hAnsi="宋体"/>
                <w:kern w:val="0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szCs w:val="21"/>
              </w:rPr>
              <w:t>型号规格</w:t>
            </w:r>
          </w:p>
        </w:tc>
        <w:tc>
          <w:tcPr>
            <w:tcW w:w="450" w:type="pct"/>
            <w:vAlign w:val="center"/>
          </w:tcPr>
          <w:p w:rsidR="00187E4D" w:rsidRDefault="00E10ABE">
            <w:pPr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2922" w:type="pct"/>
            <w:vAlign w:val="center"/>
          </w:tcPr>
          <w:p w:rsidR="00187E4D" w:rsidRDefault="00E10ABE">
            <w:pPr>
              <w:ind w:firstLine="482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b/>
                <w:szCs w:val="21"/>
              </w:rPr>
              <w:t>要求</w:t>
            </w:r>
          </w:p>
        </w:tc>
      </w:tr>
      <w:tr w:rsidR="00187E4D">
        <w:trPr>
          <w:trHeight w:hRule="exact" w:val="2081"/>
        </w:trPr>
        <w:tc>
          <w:tcPr>
            <w:tcW w:w="910" w:type="pct"/>
            <w:vAlign w:val="center"/>
          </w:tcPr>
          <w:p w:rsidR="00187E4D" w:rsidRDefault="00E10ABE">
            <w:pPr>
              <w:spacing w:line="320" w:lineRule="exact"/>
              <w:jc w:val="center"/>
              <w:rPr>
                <w:rFonts w:ascii="宋体" w:hAnsi="宋体"/>
                <w:bCs/>
                <w:sz w:val="22"/>
              </w:rPr>
            </w:pPr>
            <w:r>
              <w:rPr>
                <w:rFonts w:ascii="宋体" w:eastAsia="宋体" w:hAnsi="宋体" w:cs="Times New Roman" w:hint="eastAsia"/>
                <w:bCs/>
                <w:sz w:val="22"/>
              </w:rPr>
              <w:t>内镜追溯升级</w:t>
            </w:r>
          </w:p>
          <w:p w:rsidR="00187E4D" w:rsidRDefault="00E10ABE">
            <w:pPr>
              <w:spacing w:line="320" w:lineRule="exact"/>
              <w:jc w:val="center"/>
              <w:rPr>
                <w:rFonts w:ascii="宋体" w:hAnsi="宋体"/>
                <w:bCs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bCs/>
                <w:sz w:val="22"/>
              </w:rPr>
              <w:t>（含内镜工作系统接口</w:t>
            </w:r>
          </w:p>
        </w:tc>
        <w:tc>
          <w:tcPr>
            <w:tcW w:w="716" w:type="pct"/>
            <w:vAlign w:val="center"/>
          </w:tcPr>
          <w:p w:rsidR="00187E4D" w:rsidRDefault="00E10ABE">
            <w:pPr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kern w:val="0"/>
                <w:sz w:val="22"/>
                <w:szCs w:val="20"/>
              </w:rPr>
              <w:t>用户定制型</w:t>
            </w:r>
          </w:p>
        </w:tc>
        <w:tc>
          <w:tcPr>
            <w:tcW w:w="450" w:type="pct"/>
            <w:vAlign w:val="center"/>
          </w:tcPr>
          <w:p w:rsidR="00187E4D" w:rsidRDefault="00E10ABE">
            <w:pPr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1</w:t>
            </w:r>
          </w:p>
        </w:tc>
        <w:tc>
          <w:tcPr>
            <w:tcW w:w="2922" w:type="pct"/>
          </w:tcPr>
          <w:p w:rsidR="00187E4D" w:rsidRDefault="00E10ABE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</w:t>
            </w:r>
            <w:r>
              <w:rPr>
                <w:rFonts w:ascii="宋体" w:hAnsi="宋体" w:hint="eastAsia"/>
                <w:b/>
                <w:bCs/>
                <w:sz w:val="22"/>
              </w:rPr>
              <w:t>全流程记录和追溯</w:t>
            </w:r>
            <w:r>
              <w:rPr>
                <w:rFonts w:ascii="宋体" w:hAnsi="宋体" w:hint="eastAsia"/>
                <w:sz w:val="22"/>
              </w:rPr>
              <w:t>:消毒液浓度监测及测试纸拍照记录、储镜柜时效监控界面、镜子维修记录及维修报告拍照记录、镜子测漏提醒功能、机洗功能优化等</w:t>
            </w:r>
          </w:p>
          <w:p w:rsidR="00187E4D" w:rsidRDefault="00E10ABE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</w:t>
            </w:r>
            <w:r>
              <w:rPr>
                <w:rFonts w:ascii="宋体" w:hAnsi="宋体" w:hint="eastAsia"/>
                <w:b/>
                <w:bCs/>
                <w:sz w:val="22"/>
              </w:rPr>
              <w:t>监控界面改进：</w:t>
            </w:r>
            <w:r>
              <w:rPr>
                <w:rFonts w:ascii="宋体" w:hAnsi="宋体" w:hint="eastAsia"/>
                <w:sz w:val="22"/>
              </w:rPr>
              <w:t>支持在监控界面上查看当天镜子清洗、使用、测漏及镜子分布情况；</w:t>
            </w:r>
          </w:p>
          <w:p w:rsidR="00187E4D" w:rsidRDefault="00E10ABE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3.</w:t>
            </w:r>
            <w:r>
              <w:rPr>
                <w:rFonts w:ascii="宋体" w:hAnsi="宋体" w:hint="eastAsia"/>
                <w:b/>
                <w:bCs/>
                <w:sz w:val="22"/>
              </w:rPr>
              <w:t>系统架构优化:</w:t>
            </w:r>
            <w:r>
              <w:rPr>
                <w:rFonts w:ascii="宋体" w:hAnsi="宋体" w:hint="eastAsia"/>
                <w:sz w:val="22"/>
              </w:rPr>
              <w:t>客户端升级为网页版，便于安装维护。</w:t>
            </w:r>
          </w:p>
        </w:tc>
      </w:tr>
      <w:tr w:rsidR="00187E4D">
        <w:trPr>
          <w:trHeight w:hRule="exact" w:val="1552"/>
        </w:trPr>
        <w:tc>
          <w:tcPr>
            <w:tcW w:w="910" w:type="pct"/>
            <w:vAlign w:val="center"/>
          </w:tcPr>
          <w:p w:rsidR="00187E4D" w:rsidRDefault="00E10A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配套数据采集</w:t>
            </w:r>
          </w:p>
          <w:p w:rsidR="00187E4D" w:rsidRDefault="00E10ABE">
            <w:pPr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读卡器</w:t>
            </w:r>
          </w:p>
        </w:tc>
        <w:tc>
          <w:tcPr>
            <w:tcW w:w="716" w:type="pct"/>
            <w:vAlign w:val="center"/>
          </w:tcPr>
          <w:p w:rsidR="00187E4D" w:rsidRDefault="00E10ABE">
            <w:pPr>
              <w:rPr>
                <w:rFonts w:ascii="宋体" w:hAnsi="宋体"/>
                <w:kern w:val="0"/>
                <w:sz w:val="22"/>
                <w:szCs w:val="20"/>
              </w:rPr>
            </w:pPr>
            <w:r>
              <w:rPr>
                <w:rFonts w:ascii="宋体" w:hAnsi="宋体" w:hint="eastAsia"/>
                <w:kern w:val="0"/>
                <w:sz w:val="22"/>
                <w:szCs w:val="20"/>
              </w:rPr>
              <w:t>用户定制型</w:t>
            </w:r>
          </w:p>
          <w:p w:rsidR="00187E4D" w:rsidRDefault="00187E4D">
            <w:pPr>
              <w:ind w:firstLineChars="100" w:firstLine="220"/>
              <w:rPr>
                <w:rFonts w:ascii="宋体" w:hAnsi="宋体"/>
                <w:kern w:val="0"/>
                <w:sz w:val="22"/>
                <w:szCs w:val="20"/>
              </w:rPr>
            </w:pPr>
          </w:p>
        </w:tc>
        <w:tc>
          <w:tcPr>
            <w:tcW w:w="450" w:type="pct"/>
            <w:vAlign w:val="center"/>
          </w:tcPr>
          <w:p w:rsidR="00187E4D" w:rsidRDefault="00E10ABE">
            <w:pPr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92</w:t>
            </w:r>
          </w:p>
        </w:tc>
        <w:tc>
          <w:tcPr>
            <w:tcW w:w="2922" w:type="pct"/>
          </w:tcPr>
          <w:p w:rsidR="00187E4D" w:rsidRDefault="00E10ABE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院区内</w:t>
            </w:r>
            <w:proofErr w:type="gramStart"/>
            <w:r>
              <w:rPr>
                <w:rFonts w:ascii="宋体" w:eastAsia="宋体" w:hAnsi="宋体" w:cs="Times New Roman" w:hint="eastAsia"/>
                <w:sz w:val="22"/>
              </w:rPr>
              <w:t>所有点位</w:t>
            </w:r>
            <w:proofErr w:type="gramEnd"/>
            <w:r>
              <w:rPr>
                <w:rFonts w:ascii="宋体" w:eastAsia="宋体" w:hAnsi="宋体" w:cs="Times New Roman" w:hint="eastAsia"/>
                <w:sz w:val="22"/>
              </w:rPr>
              <w:t>都可正常使用刷取</w:t>
            </w:r>
          </w:p>
          <w:p w:rsidR="00187E4D" w:rsidRDefault="00E10ABE">
            <w:pPr>
              <w:jc w:val="left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可POE或</w:t>
            </w:r>
            <w:proofErr w:type="gramStart"/>
            <w:r>
              <w:rPr>
                <w:rFonts w:ascii="宋体" w:eastAsia="宋体" w:hAnsi="宋体" w:cs="Times New Roman" w:hint="eastAsia"/>
                <w:sz w:val="22"/>
              </w:rPr>
              <w:t>无线以</w:t>
            </w:r>
            <w:proofErr w:type="gramEnd"/>
            <w:r>
              <w:rPr>
                <w:rFonts w:ascii="宋体" w:eastAsia="宋体" w:hAnsi="宋体" w:cs="Times New Roman" w:hint="eastAsia"/>
                <w:sz w:val="22"/>
              </w:rPr>
              <w:t>供用户使用选择，且续航</w:t>
            </w:r>
            <w:proofErr w:type="gramStart"/>
            <w:r>
              <w:rPr>
                <w:rFonts w:ascii="宋体" w:eastAsia="宋体" w:hAnsi="宋体" w:cs="Times New Roman" w:hint="eastAsia"/>
                <w:sz w:val="22"/>
              </w:rPr>
              <w:t>稳定单次满电可用</w:t>
            </w:r>
            <w:proofErr w:type="gramEnd"/>
            <w:r>
              <w:rPr>
                <w:rFonts w:ascii="宋体" w:eastAsia="宋体" w:hAnsi="宋体" w:cs="Times New Roman" w:hint="eastAsia"/>
                <w:sz w:val="22"/>
              </w:rPr>
              <w:t>一年及以上</w:t>
            </w:r>
          </w:p>
        </w:tc>
      </w:tr>
      <w:tr w:rsidR="00187E4D">
        <w:trPr>
          <w:trHeight w:hRule="exact" w:val="1147"/>
        </w:trPr>
        <w:tc>
          <w:tcPr>
            <w:tcW w:w="910" w:type="pct"/>
            <w:vAlign w:val="center"/>
          </w:tcPr>
          <w:p w:rsidR="00187E4D" w:rsidRDefault="00E10ABE">
            <w:pPr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配套内镜识别IC卡</w:t>
            </w:r>
          </w:p>
        </w:tc>
        <w:tc>
          <w:tcPr>
            <w:tcW w:w="716" w:type="pct"/>
            <w:vAlign w:val="center"/>
          </w:tcPr>
          <w:p w:rsidR="00187E4D" w:rsidRDefault="00E10ABE">
            <w:pPr>
              <w:rPr>
                <w:rFonts w:ascii="宋体" w:hAnsi="宋体"/>
                <w:kern w:val="0"/>
                <w:sz w:val="22"/>
                <w:szCs w:val="20"/>
              </w:rPr>
            </w:pPr>
            <w:r>
              <w:rPr>
                <w:rFonts w:ascii="宋体" w:hAnsi="宋体" w:hint="eastAsia"/>
                <w:kern w:val="0"/>
                <w:sz w:val="22"/>
                <w:szCs w:val="20"/>
              </w:rPr>
              <w:t>用户定制型</w:t>
            </w:r>
          </w:p>
        </w:tc>
        <w:tc>
          <w:tcPr>
            <w:tcW w:w="450" w:type="pct"/>
            <w:vAlign w:val="center"/>
          </w:tcPr>
          <w:p w:rsidR="00187E4D" w:rsidRDefault="00E10ABE">
            <w:pPr>
              <w:jc w:val="center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  <w:sz w:val="22"/>
                <w:szCs w:val="20"/>
              </w:rPr>
              <w:t>220</w:t>
            </w:r>
          </w:p>
        </w:tc>
        <w:tc>
          <w:tcPr>
            <w:tcW w:w="2922" w:type="pct"/>
          </w:tcPr>
          <w:p w:rsidR="00187E4D" w:rsidRDefault="00E10ABE">
            <w:pPr>
              <w:jc w:val="left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sz w:val="22"/>
              </w:rPr>
              <w:t>防水耐腐蚀</w:t>
            </w:r>
          </w:p>
        </w:tc>
      </w:tr>
    </w:tbl>
    <w:p w:rsidR="00187E4D" w:rsidRDefault="00187E4D">
      <w:pPr>
        <w:rPr>
          <w:rFonts w:asciiTheme="minorEastAsia" w:hAnsiTheme="minorEastAsia" w:cs="宋体"/>
          <w:kern w:val="0"/>
          <w:szCs w:val="21"/>
        </w:rPr>
      </w:pPr>
    </w:p>
    <w:p w:rsidR="00187E4D" w:rsidRDefault="00E10ABE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四、投标人要求：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投标人具有独立承担民事责任的能力；具有良好的商业信誉和健全的财务会计制度；具有履行合同所必需的设备和专业技术能力；具有依法缴纳税收和社会保障资金的良好记录；法律、行政法规规定的其他条件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2、单位负责人为同一人或者存在直接控股、管理关系的不同投标人，不得参加同一项目的投标。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3、投标人未被“信用中国”（www.creditchina.gov.cn）、中国政府采购网（www.ccgp.gov.cn）列入失信被执行人、重大税收违法失信主体、政府采购严重违法失信行为记录名单。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4、本项目不接受联合体投标，实行资格后审。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五、参与投标应提供以下资料（标书一正三副，正本须加盖红章）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1、营业执照及相关资质证明复印件；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2、投标代表的法人授权书及身份证复印件，并带身份证原件；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3、产品质量保证书、廉洁承诺书；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4、投标一览表及投标报价表；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5、同类项目业绩（提供合同复印件）；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6、项目实施方案；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7、售后服务承诺及培训计划；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bookmarkStart w:id="0" w:name="_GoBack"/>
      <w:bookmarkEnd w:id="0"/>
      <w:r>
        <w:rPr>
          <w:rFonts w:asciiTheme="minorEastAsia" w:hAnsiTheme="minorEastAsia" w:cs="宋体" w:hint="eastAsia"/>
          <w:kern w:val="0"/>
          <w:sz w:val="24"/>
          <w:szCs w:val="24"/>
        </w:rPr>
        <w:t>、所投的标书应包含但不限于上述资料，装订成册，不接收活页形式或通过夹子成型的标书。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五、报名事项：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资格的投标人到宁波大学附属人民医院采购中心报名，联系人：蔡老师、肖老师，联系电话：0574-87016979。报名截止时间2025年7月</w:t>
      </w:r>
      <w:r w:rsidR="00664921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日17时。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2、本次议标定于2025年7月</w:t>
      </w:r>
      <w:r w:rsidRPr="00A51B8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A51B8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A51B83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分，地点：16号楼2楼218会议室。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3、我院为无烟医院，文明单位，院区内严禁吸烟，并要求严格做好垃圾分类，请投标人自觉遵守。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六、评标方法：本次采购采用议标的方式，采用综合评分法，中标结果以宁波大学附属人民医院外网公示、电话通知为准。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七、商务条款：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1、交货方式：按院方实际需要供货。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2、交货时间：中标后</w:t>
      </w:r>
      <w:r w:rsidRPr="0066492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个月内完成。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3、</w:t>
      </w:r>
      <w:r w:rsidRPr="00664921">
        <w:rPr>
          <w:rFonts w:asciiTheme="minorEastAsia" w:hAnsiTheme="minorEastAsia" w:cs="宋体" w:hint="eastAsia"/>
          <w:kern w:val="0"/>
          <w:sz w:val="24"/>
          <w:szCs w:val="24"/>
        </w:rPr>
        <w:t>付款方式：合同签订后，支付合同总额的40%；项目初验合格后，支付合同总额的40%；稳定运行6个月终验后支付剩余20%。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4、售后服务：软件应有</w:t>
      </w:r>
      <w:r w:rsidRPr="0066492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年及以上的质保期。</w:t>
      </w:r>
    </w:p>
    <w:p w:rsidR="00187E4D" w:rsidRDefault="00E10AB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5、技术支持：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应提供项目的技术支持及培训。</w:t>
      </w:r>
    </w:p>
    <w:p w:rsidR="00187E4D" w:rsidRDefault="00187E4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187E4D" w:rsidRDefault="00E10ABE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187E4D" w:rsidRDefault="00E10ABE">
      <w:pPr>
        <w:widowControl/>
        <w:spacing w:line="360" w:lineRule="auto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2025年7月</w:t>
      </w:r>
      <w:r w:rsidR="0066492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187E4D" w:rsidRDefault="00187E4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187E4D" w:rsidRDefault="00187E4D">
      <w:pPr>
        <w:rPr>
          <w:rFonts w:asciiTheme="minorEastAsia" w:hAnsiTheme="minorEastAsia" w:cs="宋体"/>
          <w:kern w:val="0"/>
          <w:szCs w:val="21"/>
        </w:rPr>
      </w:pPr>
    </w:p>
    <w:p w:rsidR="00187E4D" w:rsidRDefault="00187E4D">
      <w:pPr>
        <w:rPr>
          <w:rFonts w:asciiTheme="minorEastAsia" w:hAnsiTheme="minorEastAsia" w:cs="宋体"/>
          <w:kern w:val="0"/>
          <w:szCs w:val="21"/>
        </w:rPr>
      </w:pPr>
    </w:p>
    <w:p w:rsidR="00187E4D" w:rsidRDefault="00E10ABE" w:rsidP="00F710A1">
      <w:pPr>
        <w:spacing w:beforeLines="50" w:afterLines="50" w:line="360" w:lineRule="auto"/>
        <w:ind w:left="324" w:hangingChars="135" w:hanging="324"/>
        <w:rPr>
          <w:rFonts w:ascii="宋体" w:eastAsia="宋体" w:hAnsi="宋体" w:cs="Times New Roman"/>
          <w:szCs w:val="21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项目评分表：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187E4D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187E4D" w:rsidRDefault="00E10A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187E4D" w:rsidRDefault="00E10A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187E4D" w:rsidRDefault="00E10ABE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187E4D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187E4D">
        <w:trPr>
          <w:trHeight w:val="346"/>
          <w:jc w:val="center"/>
        </w:trPr>
        <w:tc>
          <w:tcPr>
            <w:tcW w:w="743" w:type="dxa"/>
            <w:vAlign w:val="center"/>
          </w:tcPr>
          <w:p w:rsidR="00187E4D" w:rsidRDefault="00E10ABE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该项目报价 (30分)</w:t>
            </w:r>
          </w:p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评标基准价=所有有效投标价中的最低报价，基准价的价格分为满分30分，其余投标人报价得分=(基准价/投标报价)×30（保留小数点后两位数）。</w:t>
            </w:r>
          </w:p>
        </w:tc>
        <w:tc>
          <w:tcPr>
            <w:tcW w:w="851" w:type="dxa"/>
            <w:vAlign w:val="center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187E4D">
        <w:trPr>
          <w:trHeight w:val="346"/>
          <w:jc w:val="center"/>
        </w:trPr>
        <w:tc>
          <w:tcPr>
            <w:tcW w:w="743" w:type="dxa"/>
            <w:vAlign w:val="center"/>
          </w:tcPr>
          <w:p w:rsidR="00187E4D" w:rsidRDefault="00E10ABE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</w:rPr>
              <w:t>近3年（2022年1月起）供应商承接过的同类项目业绩，每个项目得1分；最高得3分。（投标文件须附加盖公章的合同复印件，时间以合同签订时间为准，原件备查）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187E4D">
        <w:trPr>
          <w:trHeight w:val="341"/>
          <w:jc w:val="center"/>
        </w:trPr>
        <w:tc>
          <w:tcPr>
            <w:tcW w:w="743" w:type="dxa"/>
            <w:vAlign w:val="center"/>
          </w:tcPr>
          <w:p w:rsidR="00187E4D" w:rsidRDefault="00E10ABE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公司服务能力(7分)</w:t>
            </w:r>
          </w:p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根据供应商针对该项目提供的服务人员资质、服务能力进行综合评议。</w:t>
            </w:r>
          </w:p>
        </w:tc>
        <w:tc>
          <w:tcPr>
            <w:tcW w:w="851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187E4D">
        <w:trPr>
          <w:trHeight w:val="341"/>
          <w:jc w:val="center"/>
        </w:trPr>
        <w:tc>
          <w:tcPr>
            <w:tcW w:w="743" w:type="dxa"/>
            <w:vAlign w:val="center"/>
          </w:tcPr>
          <w:p w:rsidR="00187E4D" w:rsidRDefault="00E10ABE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产品技术能力（20分）</w:t>
            </w:r>
          </w:p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供应商所投产</w:t>
            </w:r>
            <w:proofErr w:type="gramStart"/>
            <w:r>
              <w:rPr>
                <w:rFonts w:asciiTheme="minorEastAsia" w:hAnsiTheme="minorEastAsia" w:hint="eastAsia"/>
              </w:rPr>
              <w:t>品品牌</w:t>
            </w:r>
            <w:proofErr w:type="gramEnd"/>
            <w:r>
              <w:rPr>
                <w:rFonts w:asciiTheme="minorEastAsia" w:hAnsiTheme="minorEastAsia" w:hint="eastAsia"/>
              </w:rPr>
              <w:t>及技术参数是否满足招标文件采购需求综合评议。最高20分，每一条带“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▲</w:t>
            </w:r>
            <w:r>
              <w:rPr>
                <w:rFonts w:asciiTheme="minorEastAsia" w:hAnsiTheme="minorEastAsia" w:hint="eastAsia"/>
              </w:rPr>
              <w:t>”要求的负偏离扣2分，其它每一条负偏离扣1分。</w:t>
            </w:r>
          </w:p>
        </w:tc>
        <w:tc>
          <w:tcPr>
            <w:tcW w:w="851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187E4D">
        <w:trPr>
          <w:trHeight w:val="341"/>
          <w:jc w:val="center"/>
        </w:trPr>
        <w:tc>
          <w:tcPr>
            <w:tcW w:w="743" w:type="dxa"/>
            <w:vAlign w:val="center"/>
          </w:tcPr>
          <w:p w:rsidR="00187E4D" w:rsidRDefault="00E10ABE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服务实施方案(2</w:t>
            </w:r>
            <w:r w:rsidR="00664921">
              <w:rPr>
                <w:rFonts w:asciiTheme="minorEastAsia" w:hAnsiTheme="minorEastAsia" w:cs="仿宋" w:hint="eastAsia"/>
                <w:b/>
                <w:bCs/>
                <w:kern w:val="0"/>
              </w:rPr>
              <w:t>5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根据供应商对本项目的实施方案的完整性、合理性，工作时间进度计划、工作程序和步骤、质量管理和保障措施可</w:t>
            </w:r>
            <w:r>
              <w:rPr>
                <w:rFonts w:asciiTheme="minorEastAsia" w:hAnsiTheme="minorEastAsia" w:hint="eastAsia"/>
              </w:rPr>
              <w:lastRenderedPageBreak/>
              <w:t>行性、及与院方配合方案等进行综合评议。</w:t>
            </w:r>
          </w:p>
        </w:tc>
        <w:tc>
          <w:tcPr>
            <w:tcW w:w="851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187E4D">
        <w:trPr>
          <w:trHeight w:val="341"/>
          <w:jc w:val="center"/>
        </w:trPr>
        <w:tc>
          <w:tcPr>
            <w:tcW w:w="743" w:type="dxa"/>
            <w:vAlign w:val="center"/>
          </w:tcPr>
          <w:p w:rsidR="00187E4D" w:rsidRDefault="00E10ABE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6</w:t>
            </w:r>
          </w:p>
        </w:tc>
        <w:tc>
          <w:tcPr>
            <w:tcW w:w="5494" w:type="dxa"/>
            <w:vAlign w:val="center"/>
          </w:tcPr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售后服务方案(</w:t>
            </w:r>
            <w:r w:rsidR="00664921">
              <w:rPr>
                <w:rFonts w:asciiTheme="minorEastAsia" w:hAnsiTheme="minorEastAsia" w:cs="仿宋" w:hint="eastAsia"/>
                <w:b/>
                <w:bCs/>
                <w:kern w:val="0"/>
              </w:rPr>
              <w:t>15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187E4D" w:rsidRDefault="00E10ABE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</w:t>
            </w:r>
            <w:r>
              <w:rPr>
                <w:rFonts w:asciiTheme="minorEastAsia" w:hAnsiTheme="minorEastAsia" w:cs="仿宋" w:hint="eastAsia"/>
                <w:kern w:val="0"/>
              </w:rPr>
              <w:t>培训计划</w:t>
            </w:r>
            <w:r>
              <w:rPr>
                <w:rFonts w:asciiTheme="minorEastAsia" w:hAnsiTheme="minorEastAsia" w:hint="eastAsia"/>
              </w:rPr>
              <w:t>等）进行综合评议。</w:t>
            </w:r>
          </w:p>
        </w:tc>
        <w:tc>
          <w:tcPr>
            <w:tcW w:w="851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187E4D" w:rsidRDefault="00187E4D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187E4D" w:rsidRDefault="00187E4D"/>
    <w:sectPr w:rsidR="00187E4D" w:rsidSect="0018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921" w:rsidRDefault="00664921" w:rsidP="00664921">
      <w:r>
        <w:separator/>
      </w:r>
    </w:p>
  </w:endnote>
  <w:endnote w:type="continuationSeparator" w:id="0">
    <w:p w:rsidR="00664921" w:rsidRDefault="00664921" w:rsidP="0066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921" w:rsidRDefault="00664921" w:rsidP="00664921">
      <w:r>
        <w:separator/>
      </w:r>
    </w:p>
  </w:footnote>
  <w:footnote w:type="continuationSeparator" w:id="0">
    <w:p w:rsidR="00664921" w:rsidRDefault="00664921" w:rsidP="006649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EyZDdmMzQzZjY2ODYzNTY0ZDMyYjFiMDE3YjdiYjIifQ=="/>
  </w:docVars>
  <w:rsids>
    <w:rsidRoot w:val="00462E30"/>
    <w:rsid w:val="00014381"/>
    <w:rsid w:val="00085AF2"/>
    <w:rsid w:val="0008636A"/>
    <w:rsid w:val="000A1E21"/>
    <w:rsid w:val="000B6E80"/>
    <w:rsid w:val="000E4EEF"/>
    <w:rsid w:val="001031FE"/>
    <w:rsid w:val="00165620"/>
    <w:rsid w:val="00172EAC"/>
    <w:rsid w:val="00187E4D"/>
    <w:rsid w:val="001D0B4C"/>
    <w:rsid w:val="001E1376"/>
    <w:rsid w:val="00211D62"/>
    <w:rsid w:val="0023064D"/>
    <w:rsid w:val="002D2548"/>
    <w:rsid w:val="002D2F22"/>
    <w:rsid w:val="003106B0"/>
    <w:rsid w:val="00340841"/>
    <w:rsid w:val="00373C6D"/>
    <w:rsid w:val="00375859"/>
    <w:rsid w:val="003849EA"/>
    <w:rsid w:val="003D45B1"/>
    <w:rsid w:val="003E53BE"/>
    <w:rsid w:val="00407251"/>
    <w:rsid w:val="00435280"/>
    <w:rsid w:val="004533BE"/>
    <w:rsid w:val="00462E30"/>
    <w:rsid w:val="00464ADF"/>
    <w:rsid w:val="00472DC3"/>
    <w:rsid w:val="00475DDB"/>
    <w:rsid w:val="004773DD"/>
    <w:rsid w:val="004C78F1"/>
    <w:rsid w:val="004E480D"/>
    <w:rsid w:val="004F2159"/>
    <w:rsid w:val="0051184C"/>
    <w:rsid w:val="00520E40"/>
    <w:rsid w:val="00522595"/>
    <w:rsid w:val="00524161"/>
    <w:rsid w:val="00600D27"/>
    <w:rsid w:val="00627A9A"/>
    <w:rsid w:val="00655869"/>
    <w:rsid w:val="00664921"/>
    <w:rsid w:val="006A14D6"/>
    <w:rsid w:val="0070142E"/>
    <w:rsid w:val="00760F90"/>
    <w:rsid w:val="00846EA0"/>
    <w:rsid w:val="0085264B"/>
    <w:rsid w:val="00876452"/>
    <w:rsid w:val="00885CCF"/>
    <w:rsid w:val="008A72AE"/>
    <w:rsid w:val="00921D7A"/>
    <w:rsid w:val="00986E52"/>
    <w:rsid w:val="009A71CA"/>
    <w:rsid w:val="009E6120"/>
    <w:rsid w:val="009F5649"/>
    <w:rsid w:val="00A51B83"/>
    <w:rsid w:val="00A55528"/>
    <w:rsid w:val="00A64882"/>
    <w:rsid w:val="00A67719"/>
    <w:rsid w:val="00A74999"/>
    <w:rsid w:val="00A81E58"/>
    <w:rsid w:val="00A97922"/>
    <w:rsid w:val="00BA1FC9"/>
    <w:rsid w:val="00BA23AD"/>
    <w:rsid w:val="00BD3F16"/>
    <w:rsid w:val="00BF352C"/>
    <w:rsid w:val="00C06DAC"/>
    <w:rsid w:val="00C100CB"/>
    <w:rsid w:val="00C13BBA"/>
    <w:rsid w:val="00C31138"/>
    <w:rsid w:val="00C41C73"/>
    <w:rsid w:val="00C60A82"/>
    <w:rsid w:val="00C83DB2"/>
    <w:rsid w:val="00CB2771"/>
    <w:rsid w:val="00CC58A3"/>
    <w:rsid w:val="00CC7C2A"/>
    <w:rsid w:val="00CD2C39"/>
    <w:rsid w:val="00CF5126"/>
    <w:rsid w:val="00D076E6"/>
    <w:rsid w:val="00D61A22"/>
    <w:rsid w:val="00D8276E"/>
    <w:rsid w:val="00DC6B6F"/>
    <w:rsid w:val="00DD74EC"/>
    <w:rsid w:val="00DF28C5"/>
    <w:rsid w:val="00E10ABE"/>
    <w:rsid w:val="00E404FB"/>
    <w:rsid w:val="00E53403"/>
    <w:rsid w:val="00E57B0D"/>
    <w:rsid w:val="00EA3641"/>
    <w:rsid w:val="00ED5804"/>
    <w:rsid w:val="00F1253D"/>
    <w:rsid w:val="00F56096"/>
    <w:rsid w:val="00F710A1"/>
    <w:rsid w:val="00FA1357"/>
    <w:rsid w:val="06D64C34"/>
    <w:rsid w:val="07F82FE8"/>
    <w:rsid w:val="08181931"/>
    <w:rsid w:val="084D495D"/>
    <w:rsid w:val="0F81030D"/>
    <w:rsid w:val="15A33C15"/>
    <w:rsid w:val="172E623A"/>
    <w:rsid w:val="185C5962"/>
    <w:rsid w:val="19CF20FD"/>
    <w:rsid w:val="1B9540C8"/>
    <w:rsid w:val="1C87059E"/>
    <w:rsid w:val="20B97C23"/>
    <w:rsid w:val="20F6042F"/>
    <w:rsid w:val="29124D24"/>
    <w:rsid w:val="2F416D1A"/>
    <w:rsid w:val="37F870BF"/>
    <w:rsid w:val="39CE38A0"/>
    <w:rsid w:val="3E905A03"/>
    <w:rsid w:val="3FDC09C1"/>
    <w:rsid w:val="411E205F"/>
    <w:rsid w:val="4B375749"/>
    <w:rsid w:val="564C5E31"/>
    <w:rsid w:val="615D7134"/>
    <w:rsid w:val="618977DB"/>
    <w:rsid w:val="62261C1B"/>
    <w:rsid w:val="68AF64C7"/>
    <w:rsid w:val="68DC2250"/>
    <w:rsid w:val="696039FE"/>
    <w:rsid w:val="69AC6EAA"/>
    <w:rsid w:val="69C575AF"/>
    <w:rsid w:val="6AC07D7A"/>
    <w:rsid w:val="70E604BB"/>
    <w:rsid w:val="71C254BD"/>
    <w:rsid w:val="75BC059B"/>
    <w:rsid w:val="7CE54755"/>
    <w:rsid w:val="7E490D14"/>
    <w:rsid w:val="7F4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187E4D"/>
    <w:pPr>
      <w:spacing w:after="120"/>
      <w:ind w:leftChars="200" w:left="420"/>
    </w:pPr>
  </w:style>
  <w:style w:type="paragraph" w:styleId="a4">
    <w:name w:val="Plain Text"/>
    <w:basedOn w:val="a"/>
    <w:link w:val="Char0"/>
    <w:qFormat/>
    <w:rsid w:val="00187E4D"/>
    <w:pPr>
      <w:spacing w:beforeLines="50" w:afterLines="50" w:line="400" w:lineRule="exact"/>
    </w:pPr>
    <w:rPr>
      <w:rFonts w:ascii="宋体" w:eastAsia="宋体" w:hAnsi="Courier New" w:cs="Times New Roman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qFormat/>
    <w:rsid w:val="00187E4D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187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187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187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187E4D"/>
    <w:rPr>
      <w:b/>
    </w:rPr>
  </w:style>
  <w:style w:type="character" w:customStyle="1" w:styleId="Char3">
    <w:name w:val="页眉 Char"/>
    <w:basedOn w:val="a0"/>
    <w:link w:val="a7"/>
    <w:uiPriority w:val="99"/>
    <w:semiHidden/>
    <w:qFormat/>
    <w:rsid w:val="00187E4D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187E4D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semiHidden/>
    <w:qFormat/>
    <w:rsid w:val="00187E4D"/>
  </w:style>
  <w:style w:type="character" w:customStyle="1" w:styleId="Char0">
    <w:name w:val="纯文本 Char"/>
    <w:basedOn w:val="a0"/>
    <w:link w:val="a4"/>
    <w:qFormat/>
    <w:rsid w:val="00187E4D"/>
    <w:rPr>
      <w:rFonts w:ascii="宋体" w:eastAsia="宋体" w:hAnsi="Courier New" w:cs="Times New Roman"/>
      <w:sz w:val="24"/>
      <w:szCs w:val="24"/>
    </w:rPr>
  </w:style>
  <w:style w:type="paragraph" w:customStyle="1" w:styleId="p0">
    <w:name w:val="p0"/>
    <w:basedOn w:val="a"/>
    <w:uiPriority w:val="99"/>
    <w:qFormat/>
    <w:rsid w:val="00187E4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87E4D"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sid w:val="00187E4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无间隔1"/>
    <w:qFormat/>
    <w:rsid w:val="00187E4D"/>
    <w:pPr>
      <w:widowControl w:val="0"/>
      <w:jc w:val="both"/>
    </w:pPr>
    <w:rPr>
      <w:kern w:val="2"/>
      <w:sz w:val="24"/>
      <w:szCs w:val="22"/>
    </w:rPr>
  </w:style>
  <w:style w:type="table" w:customStyle="1" w:styleId="2">
    <w:name w:val="网格型2"/>
    <w:basedOn w:val="a1"/>
    <w:autoRedefine/>
    <w:uiPriority w:val="39"/>
    <w:qFormat/>
    <w:rsid w:val="00187E4D"/>
    <w:rPr>
      <w:rFonts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06F0D-5501-44A7-AD9F-05222D0E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317</Words>
  <Characters>1813</Characters>
  <Application>Microsoft Office Word</Application>
  <DocSecurity>0</DocSecurity>
  <Lines>15</Lines>
  <Paragraphs>4</Paragraphs>
  <ScaleCrop>false</ScaleCrop>
  <Company>Microsoft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sbk-111</cp:lastModifiedBy>
  <cp:revision>65</cp:revision>
  <dcterms:created xsi:type="dcterms:W3CDTF">2023-02-21T04:26:00Z</dcterms:created>
  <dcterms:modified xsi:type="dcterms:W3CDTF">2025-07-02T01:21:00Z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47DB7ABD06F14537BDD024153D12F85F</vt:lpwstr>
  </property>
  <property fmtid="{D5CDD505-2E9C-101B-9397-08002B2CF9AE}" pid="4" name="KSOTemplateDocerSaveRecord">
    <vt:lpwstr>eyJoZGlkIjoiNjEyZDdmMzQzZjY2ODYzNTY0ZDMyYjFiMDE3YjdiYjIiLCJ1c2VySWQiOiI0MDIyNDIwOTMifQ==</vt:lpwstr>
  </property>
</Properties>
</file>