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03" w:rsidRDefault="0008636A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宁波大学附属人民医院采购</w:t>
      </w:r>
      <w:r w:rsidR="00AB0A1B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院内导航</w:t>
      </w: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系统项目院内议标公告</w:t>
      </w:r>
    </w:p>
    <w:p w:rsidR="00E53403" w:rsidRDefault="0008636A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一、议标品目：</w:t>
      </w:r>
    </w:p>
    <w:tbl>
      <w:tblPr>
        <w:tblStyle w:val="a8"/>
        <w:tblW w:w="8364" w:type="dxa"/>
        <w:tblInd w:w="108" w:type="dxa"/>
        <w:tblLook w:val="04A0"/>
      </w:tblPr>
      <w:tblGrid>
        <w:gridCol w:w="851"/>
        <w:gridCol w:w="3260"/>
        <w:gridCol w:w="851"/>
        <w:gridCol w:w="1417"/>
        <w:gridCol w:w="1985"/>
      </w:tblGrid>
      <w:tr w:rsidR="00E53403">
        <w:tc>
          <w:tcPr>
            <w:tcW w:w="851" w:type="dxa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1" w:type="dxa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:rsidR="00E53403" w:rsidRDefault="00AB0A1B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技术</w:t>
            </w:r>
            <w:r w:rsidR="000863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985" w:type="dxa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E53403">
        <w:tc>
          <w:tcPr>
            <w:tcW w:w="851" w:type="dxa"/>
            <w:vAlign w:val="center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E53403" w:rsidRDefault="00AB0A1B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B0A1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院内导航</w:t>
            </w:r>
            <w:r w:rsidR="000863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系统项目</w:t>
            </w:r>
          </w:p>
        </w:tc>
        <w:tc>
          <w:tcPr>
            <w:tcW w:w="851" w:type="dxa"/>
            <w:vAlign w:val="center"/>
          </w:tcPr>
          <w:p w:rsidR="00E53403" w:rsidRDefault="0008636A" w:rsidP="00AB0A1B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="00AB0A1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417" w:type="dxa"/>
            <w:vAlign w:val="center"/>
          </w:tcPr>
          <w:p w:rsidR="00E53403" w:rsidRDefault="0008636A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1985" w:type="dxa"/>
            <w:vAlign w:val="center"/>
          </w:tcPr>
          <w:p w:rsidR="00E53403" w:rsidRDefault="00AB0A1B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23</w:t>
            </w:r>
            <w:r w:rsidR="000863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E53403" w:rsidRDefault="00E53403">
      <w:pPr>
        <w:outlineLvl w:val="0"/>
        <w:rPr>
          <w:rFonts w:asciiTheme="minorEastAsia" w:hAnsiTheme="minorEastAsia" w:cs="宋体"/>
          <w:kern w:val="0"/>
          <w:sz w:val="24"/>
          <w:szCs w:val="24"/>
        </w:rPr>
      </w:pPr>
    </w:p>
    <w:p w:rsidR="00CD0D26" w:rsidRPr="00CD0D26" w:rsidRDefault="0008636A" w:rsidP="00CD0D26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二、</w:t>
      </w:r>
      <w:r w:rsidR="00CD0D26" w:rsidRPr="00CD0D26">
        <w:rPr>
          <w:rFonts w:asciiTheme="minorEastAsia" w:hAnsiTheme="minorEastAsia" w:cs="宋体" w:hint="eastAsia"/>
          <w:kern w:val="0"/>
          <w:sz w:val="24"/>
          <w:szCs w:val="24"/>
        </w:rPr>
        <w:t>项目建设内容：</w:t>
      </w:r>
    </w:p>
    <w:p w:rsidR="00E53403" w:rsidRDefault="00CD0D26">
      <w:pPr>
        <w:outlineLvl w:val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（一）</w:t>
      </w:r>
      <w:r w:rsidRPr="00CD0D26">
        <w:rPr>
          <w:rFonts w:asciiTheme="minorEastAsia" w:hAnsiTheme="minorEastAsia" w:cs="宋体" w:hint="eastAsia"/>
          <w:kern w:val="0"/>
          <w:sz w:val="24"/>
          <w:szCs w:val="24"/>
        </w:rPr>
        <w:t>建设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区域：</w:t>
      </w:r>
    </w:p>
    <w:tbl>
      <w:tblPr>
        <w:tblStyle w:val="a8"/>
        <w:tblW w:w="4971" w:type="pct"/>
        <w:tblLook w:val="0000"/>
      </w:tblPr>
      <w:tblGrid>
        <w:gridCol w:w="711"/>
        <w:gridCol w:w="1076"/>
        <w:gridCol w:w="2339"/>
        <w:gridCol w:w="4347"/>
      </w:tblGrid>
      <w:tr w:rsidR="00CD0D26" w:rsidTr="00080564">
        <w:trPr>
          <w:trHeight w:val="348"/>
        </w:trPr>
        <w:tc>
          <w:tcPr>
            <w:tcW w:w="1055" w:type="pct"/>
            <w:gridSpan w:val="2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拟建区域</w:t>
            </w:r>
          </w:p>
        </w:tc>
        <w:tc>
          <w:tcPr>
            <w:tcW w:w="3944" w:type="pct"/>
            <w:gridSpan w:val="2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楼层/楼宇具体情况</w:t>
            </w:r>
          </w:p>
        </w:tc>
      </w:tr>
      <w:tr w:rsidR="00CD0D26" w:rsidTr="00080564">
        <w:trPr>
          <w:trHeight w:val="402"/>
        </w:trPr>
        <w:tc>
          <w:tcPr>
            <w:tcW w:w="420" w:type="pct"/>
            <w:vMerge w:val="restar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本部</w:t>
            </w:r>
          </w:p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院区</w:t>
            </w:r>
          </w:p>
        </w:tc>
        <w:tc>
          <w:tcPr>
            <w:tcW w:w="634" w:type="pct"/>
            <w:vMerge w:val="restar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本部东区</w:t>
            </w:r>
          </w:p>
        </w:tc>
        <w:tc>
          <w:tcPr>
            <w:tcW w:w="1380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1F至2F </w:t>
            </w:r>
          </w:p>
        </w:tc>
        <w:tc>
          <w:tcPr>
            <w:tcW w:w="2564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全覆盖，导航至各诊间、收费窗口、发药窗口、检验/检查窗口、服务窗口等。  </w:t>
            </w:r>
          </w:p>
        </w:tc>
      </w:tr>
      <w:tr w:rsidR="00CD0D26" w:rsidTr="00080564">
        <w:trPr>
          <w:trHeight w:val="402"/>
        </w:trPr>
        <w:tc>
          <w:tcPr>
            <w:tcW w:w="420" w:type="pct"/>
            <w:vMerge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vMerge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3F至9F</w:t>
            </w:r>
          </w:p>
        </w:tc>
        <w:tc>
          <w:tcPr>
            <w:tcW w:w="2564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住院楼层导航至电梯厅。</w:t>
            </w:r>
          </w:p>
        </w:tc>
      </w:tr>
      <w:tr w:rsidR="00CD0D26" w:rsidTr="00080564">
        <w:trPr>
          <w:trHeight w:val="352"/>
        </w:trPr>
        <w:tc>
          <w:tcPr>
            <w:tcW w:w="420" w:type="pct"/>
            <w:vMerge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vMerge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-2F连廊</w:t>
            </w:r>
          </w:p>
        </w:tc>
        <w:tc>
          <w:tcPr>
            <w:tcW w:w="2564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连廊全覆盖</w:t>
            </w:r>
            <w:proofErr w:type="gramEnd"/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，能导航至电梯厅。</w:t>
            </w:r>
          </w:p>
        </w:tc>
      </w:tr>
      <w:tr w:rsidR="00CD0D26" w:rsidTr="00080564">
        <w:trPr>
          <w:trHeight w:val="290"/>
        </w:trPr>
        <w:tc>
          <w:tcPr>
            <w:tcW w:w="420" w:type="pct"/>
            <w:vMerge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门诊楼</w:t>
            </w:r>
          </w:p>
        </w:tc>
        <w:tc>
          <w:tcPr>
            <w:tcW w:w="1380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1F至2F </w:t>
            </w:r>
          </w:p>
        </w:tc>
        <w:tc>
          <w:tcPr>
            <w:tcW w:w="2564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全覆盖，导航至各诊间、收费窗口、发药窗口、检验窗口、服务窗口等。</w:t>
            </w:r>
          </w:p>
        </w:tc>
      </w:tr>
      <w:tr w:rsidR="00CD0D26" w:rsidTr="00080564">
        <w:trPr>
          <w:trHeight w:val="314"/>
        </w:trPr>
        <w:tc>
          <w:tcPr>
            <w:tcW w:w="420" w:type="pct"/>
            <w:vMerge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住院楼</w:t>
            </w:r>
          </w:p>
        </w:tc>
        <w:tc>
          <w:tcPr>
            <w:tcW w:w="1380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1F</w:t>
            </w:r>
          </w:p>
        </w:tc>
        <w:tc>
          <w:tcPr>
            <w:tcW w:w="2564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全覆盖，导航至各个服务窗口、收费窗口、检查窗口等。</w:t>
            </w:r>
          </w:p>
        </w:tc>
      </w:tr>
      <w:tr w:rsidR="00CD0D26" w:rsidTr="00080564">
        <w:trPr>
          <w:trHeight w:val="314"/>
        </w:trPr>
        <w:tc>
          <w:tcPr>
            <w:tcW w:w="420" w:type="pct"/>
            <w:vMerge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其他附楼</w:t>
            </w:r>
          </w:p>
        </w:tc>
        <w:tc>
          <w:tcPr>
            <w:tcW w:w="1380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6号楼、7号楼、8号楼、9号楼、10号楼、11号楼、眼科楼</w:t>
            </w:r>
          </w:p>
        </w:tc>
        <w:tc>
          <w:tcPr>
            <w:tcW w:w="2564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导航至楼宇入口。</w:t>
            </w:r>
          </w:p>
        </w:tc>
      </w:tr>
      <w:tr w:rsidR="00CD0D26" w:rsidTr="00080564">
        <w:trPr>
          <w:trHeight w:val="639"/>
        </w:trPr>
        <w:tc>
          <w:tcPr>
            <w:tcW w:w="420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明湖</w:t>
            </w:r>
          </w:p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院区</w:t>
            </w:r>
          </w:p>
        </w:tc>
        <w:tc>
          <w:tcPr>
            <w:tcW w:w="634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明湖院区</w:t>
            </w:r>
            <w:proofErr w:type="gramEnd"/>
          </w:p>
        </w:tc>
        <w:tc>
          <w:tcPr>
            <w:tcW w:w="1380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门诊、住院、高压氧</w:t>
            </w:r>
          </w:p>
        </w:tc>
        <w:tc>
          <w:tcPr>
            <w:tcW w:w="2564" w:type="pct"/>
            <w:vAlign w:val="center"/>
          </w:tcPr>
          <w:p w:rsidR="00CD0D26" w:rsidRPr="00303BF2" w:rsidRDefault="00CD0D26" w:rsidP="00303BF2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303BF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整个院区楼宇实景三维建模、楼层索引。</w:t>
            </w:r>
          </w:p>
        </w:tc>
      </w:tr>
    </w:tbl>
    <w:p w:rsidR="00CD0D26" w:rsidRPr="00CD0D26" w:rsidRDefault="00CD0D26">
      <w:pPr>
        <w:outlineLvl w:val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（二）</w:t>
      </w:r>
      <w:r>
        <w:rPr>
          <w:rFonts w:ascii="宋体" w:eastAsia="宋体" w:hAnsi="宋体" w:cs="宋体" w:hint="eastAsia"/>
          <w:szCs w:val="21"/>
        </w:rPr>
        <w:t>建设功能：</w:t>
      </w:r>
    </w:p>
    <w:tbl>
      <w:tblPr>
        <w:tblStyle w:val="a8"/>
        <w:tblW w:w="0" w:type="auto"/>
        <w:tblLook w:val="0000"/>
      </w:tblPr>
      <w:tblGrid>
        <w:gridCol w:w="1979"/>
        <w:gridCol w:w="6543"/>
      </w:tblGrid>
      <w:tr w:rsidR="00CD0D26" w:rsidTr="00080564">
        <w:trPr>
          <w:trHeight w:val="321"/>
        </w:trPr>
        <w:tc>
          <w:tcPr>
            <w:tcW w:w="1979" w:type="dxa"/>
            <w:vAlign w:val="center"/>
          </w:tcPr>
          <w:p w:rsidR="00CD0D26" w:rsidRDefault="00CD0D26" w:rsidP="00080564">
            <w:pPr>
              <w:pStyle w:val="ab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三维导航系统</w:t>
            </w:r>
          </w:p>
        </w:tc>
        <w:tc>
          <w:tcPr>
            <w:tcW w:w="6543" w:type="dxa"/>
          </w:tcPr>
          <w:p w:rsidR="00CD0D26" w:rsidRDefault="00CD0D26" w:rsidP="00080564">
            <w:pPr>
              <w:pStyle w:val="ab"/>
              <w:ind w:firstLineChars="0" w:firstLine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支持2D/3D地图、语音播报导航。</w:t>
            </w:r>
          </w:p>
        </w:tc>
      </w:tr>
      <w:tr w:rsidR="00CD0D26" w:rsidTr="00080564">
        <w:trPr>
          <w:trHeight w:val="321"/>
        </w:trPr>
        <w:tc>
          <w:tcPr>
            <w:tcW w:w="1979" w:type="dxa"/>
            <w:vAlign w:val="center"/>
          </w:tcPr>
          <w:p w:rsidR="00CD0D26" w:rsidRDefault="00CD0D26" w:rsidP="00080564">
            <w:pPr>
              <w:pStyle w:val="ab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实景三维建模</w:t>
            </w:r>
          </w:p>
        </w:tc>
        <w:tc>
          <w:tcPr>
            <w:tcW w:w="6543" w:type="dxa"/>
            <w:vAlign w:val="center"/>
          </w:tcPr>
          <w:p w:rsidR="00CD0D26" w:rsidRDefault="00CD0D26" w:rsidP="00080564">
            <w:pPr>
              <w:pStyle w:val="ab"/>
              <w:ind w:firstLineChars="0" w:firstLine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全院楼宇实现数字孪生实景三维建模，提供实景1:1的高逼真呈现。</w:t>
            </w:r>
          </w:p>
        </w:tc>
      </w:tr>
      <w:tr w:rsidR="00CD0D26" w:rsidTr="00080564">
        <w:tc>
          <w:tcPr>
            <w:tcW w:w="1979" w:type="dxa"/>
            <w:vAlign w:val="center"/>
          </w:tcPr>
          <w:p w:rsidR="00CD0D26" w:rsidRDefault="00CD0D26" w:rsidP="00080564">
            <w:pPr>
              <w:pStyle w:val="ab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就诊全流程指引</w:t>
            </w:r>
          </w:p>
        </w:tc>
        <w:tc>
          <w:tcPr>
            <w:tcW w:w="6543" w:type="dxa"/>
          </w:tcPr>
          <w:p w:rsidR="00CD0D26" w:rsidRDefault="00CD0D26" w:rsidP="00080564">
            <w:pPr>
              <w:pStyle w:val="ab"/>
              <w:ind w:firstLineChars="0" w:firstLine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1、支持文字/语音主动搜索院内导航，自动规避施工区域等临时障碍。</w:t>
            </w:r>
          </w:p>
          <w:p w:rsidR="00CD0D26" w:rsidRDefault="00CD0D26" w:rsidP="00080564">
            <w:pPr>
              <w:pStyle w:val="ab"/>
              <w:ind w:firstLineChars="0" w:firstLine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2、支持对接医院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微信公众号、云陪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诊等，支持基于患者的就医全流程的自动导航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做对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接。</w:t>
            </w:r>
          </w:p>
        </w:tc>
      </w:tr>
      <w:tr w:rsidR="00CD0D26" w:rsidTr="00080564">
        <w:trPr>
          <w:trHeight w:val="683"/>
        </w:trPr>
        <w:tc>
          <w:tcPr>
            <w:tcW w:w="1979" w:type="dxa"/>
            <w:vAlign w:val="center"/>
          </w:tcPr>
          <w:p w:rsidR="00CD0D26" w:rsidRDefault="00CD0D26" w:rsidP="00080564">
            <w:pPr>
              <w:pStyle w:val="ab"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大数据分析平台</w:t>
            </w:r>
          </w:p>
        </w:tc>
        <w:tc>
          <w:tcPr>
            <w:tcW w:w="6543" w:type="dxa"/>
            <w:vAlign w:val="center"/>
          </w:tcPr>
          <w:p w:rsidR="00CD0D26" w:rsidRDefault="00CD0D26" w:rsidP="00080564">
            <w:pPr>
              <w:pStyle w:val="ab"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1、科室电子地图动态维护。</w:t>
            </w:r>
          </w:p>
          <w:p w:rsidR="00CD0D26" w:rsidRDefault="00CD0D26" w:rsidP="00080564">
            <w:pPr>
              <w:pStyle w:val="ab"/>
              <w:ind w:firstLineChars="0" w:firstLine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2、患者行为分析看板（热力图）。</w:t>
            </w:r>
          </w:p>
        </w:tc>
      </w:tr>
    </w:tbl>
    <w:p w:rsidR="00E53403" w:rsidRDefault="0008636A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三、投标人要求：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2、单位负责人为同一人或者存在直接控股、管理关系的不同投标人，不得参加同一项目的投标。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4、本项目不接受联合体投标，实行资格后审。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四、参与投标应提供以下资料（标书一正三副，正本须加盖红章）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1、营业执照及相关资质证明复印件；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2、相关品牌产品代理授权书（复印件）；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3、投标代表的法人授权书及身份证复印件，并带身份证原件；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4、产品质量保证书、廉洁承诺书；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5、投标一览表及投标报价表；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6、同类项目业绩（提供合同复印件）；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7、项目实施方案；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8、售后服务承诺及培训计划；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9、所投的标书应包含但不限于上述资料，装订成册，不接收活页形式或通过夹子成型的标书。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五、报名事项：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资格的投标人到宁波大学附属人民医院采购中心报名，联系人：蔡老师、肖老师，联系电话：0574-87016979。报名截止时间2025年</w:t>
      </w:r>
      <w:r w:rsidR="000A1E21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CD0D26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日1</w:t>
      </w:r>
      <w:r w:rsidR="00CD0D26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2、本次议标定于2025年</w:t>
      </w:r>
      <w:r w:rsidR="000A1E21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CD0D26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CD0D26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时，地点：16号楼2楼218会议室。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3、我院为无烟医院，文明单位，院区内严禁吸烟，并要求严格做好垃圾分类，请投标人自觉遵守。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六、评标方法：本次采购采用议标的方式，采用综合评分法，中标结果以宁波大学附属人民医院外网公示、电话通知为准。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七、商务条款：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1、交货方式：按院方实际需要供货。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2、交货时间：中标后</w:t>
      </w:r>
      <w:r w:rsidR="00FD2457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25855">
        <w:rPr>
          <w:rFonts w:asciiTheme="minorEastAsia" w:hAnsiTheme="minorEastAsia" w:cs="宋体" w:hint="eastAsia"/>
          <w:kern w:val="0"/>
          <w:sz w:val="24"/>
          <w:szCs w:val="24"/>
        </w:rPr>
        <w:t>个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月内完成。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bookmarkStart w:id="0" w:name="_GoBack"/>
      <w:r w:rsidRPr="000A1E21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FD2457">
        <w:rPr>
          <w:rFonts w:asciiTheme="minorEastAsia" w:hAnsiTheme="minorEastAsia" w:cs="宋体" w:hint="eastAsia"/>
          <w:kern w:val="0"/>
          <w:sz w:val="24"/>
          <w:szCs w:val="24"/>
        </w:rPr>
        <w:t>付款方式</w:t>
      </w:r>
      <w:r w:rsidRPr="000A1E21">
        <w:rPr>
          <w:rFonts w:asciiTheme="minorEastAsia" w:hAnsiTheme="minorEastAsia" w:cs="宋体" w:hint="eastAsia"/>
          <w:kern w:val="0"/>
          <w:sz w:val="24"/>
          <w:szCs w:val="24"/>
        </w:rPr>
        <w:t>：合同签订后，支付合同总额的30%；项目初验合格后，支付合同总额的40%；稳定运行6个月终验后支付剩余30%。</w:t>
      </w:r>
      <w:bookmarkEnd w:id="0"/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4、售后服务：软件应有</w:t>
      </w:r>
      <w:r w:rsidR="0030156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年及以上的质保期。</w:t>
      </w:r>
    </w:p>
    <w:p w:rsidR="00E53403" w:rsidRDefault="0008636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5、技术支持：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应提供项目的技术支持及培训。</w:t>
      </w:r>
    </w:p>
    <w:p w:rsidR="00E53403" w:rsidRDefault="00E53403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E53403" w:rsidRDefault="0008636A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宁波大学附属人民医院</w:t>
      </w:r>
    </w:p>
    <w:p w:rsidR="00E53403" w:rsidRDefault="0008636A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2025年</w:t>
      </w:r>
      <w:r w:rsidR="0030156B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A01AAC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E53403" w:rsidRDefault="00E53403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E53403" w:rsidRDefault="00E53403">
      <w:pPr>
        <w:rPr>
          <w:rFonts w:asciiTheme="minorEastAsia" w:hAnsiTheme="minorEastAsia" w:cs="宋体"/>
          <w:kern w:val="0"/>
          <w:szCs w:val="21"/>
        </w:rPr>
      </w:pPr>
    </w:p>
    <w:p w:rsidR="00E53403" w:rsidRDefault="00E53403">
      <w:pPr>
        <w:rPr>
          <w:rFonts w:asciiTheme="minorEastAsia" w:hAnsiTheme="minorEastAsia" w:cs="宋体"/>
          <w:kern w:val="0"/>
          <w:szCs w:val="21"/>
        </w:rPr>
      </w:pPr>
    </w:p>
    <w:p w:rsidR="00E53403" w:rsidRDefault="0008636A" w:rsidP="00222800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项目评分表：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E53403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E53403" w:rsidRDefault="0008636A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E53403" w:rsidRDefault="0008636A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E53403" w:rsidRDefault="0008636A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E53403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6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 (30分)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评标基准价=所有有效投标价中的最低报价，基准价的价格分为满分30分，其余投标人报价得分=(基准价/投标报价)×30（保留小数点后两位数）。</w:t>
            </w:r>
          </w:p>
        </w:tc>
        <w:tc>
          <w:tcPr>
            <w:tcW w:w="851" w:type="dxa"/>
            <w:vAlign w:val="center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6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近3年（2022年1月起）供应商承接过的同类项目业绩，每个项目得1分；最高得3分。（投标文件须附加盖公章的合同复印件，时间以合同签订时间为准，原件备查）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1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公司服务能力(7分)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根据供应商针对该项目提供的服务人员资质、服务能力进行综合评议。</w:t>
            </w:r>
          </w:p>
        </w:tc>
        <w:tc>
          <w:tcPr>
            <w:tcW w:w="851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1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产品技术能力（2</w:t>
            </w:r>
            <w:r w:rsidR="00A01AAC">
              <w:rPr>
                <w:rFonts w:asciiTheme="minorEastAsia" w:hAnsiTheme="minorEastAsia" w:cs="仿宋" w:hint="eastAsia"/>
                <w:b/>
                <w:bCs/>
                <w:kern w:val="0"/>
              </w:rPr>
              <w:t>5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分）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供应商所投产</w:t>
            </w:r>
            <w:proofErr w:type="gramStart"/>
            <w:r>
              <w:rPr>
                <w:rFonts w:asciiTheme="minorEastAsia" w:hAnsiTheme="minorEastAsia" w:hint="eastAsia"/>
              </w:rPr>
              <w:t>品品牌</w:t>
            </w:r>
            <w:proofErr w:type="gramEnd"/>
            <w:r>
              <w:rPr>
                <w:rFonts w:asciiTheme="minorEastAsia" w:hAnsiTheme="minorEastAsia" w:hint="eastAsia"/>
              </w:rPr>
              <w:t>及技术参数是否满足招标文件采购需求综合评议。最高20分，每一条带“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>
              <w:rPr>
                <w:rFonts w:asciiTheme="minorEastAsia" w:hAnsiTheme="minorEastAsia" w:hint="eastAsia"/>
              </w:rPr>
              <w:t>”要求的负偏离扣2分，其它每一条负偏离扣1分。</w:t>
            </w:r>
          </w:p>
        </w:tc>
        <w:tc>
          <w:tcPr>
            <w:tcW w:w="851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1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服务实施方案(20分)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根据供应商对本项目的实施方案的完整性、合理性，工作时间进度计划、工作程序和步骤、质量管理和保障措施可行性、及与院方配合方案等进行综合评议。</w:t>
            </w:r>
          </w:p>
        </w:tc>
        <w:tc>
          <w:tcPr>
            <w:tcW w:w="851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1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A01AAC">
              <w:rPr>
                <w:rFonts w:asciiTheme="minorEastAsia" w:hAnsiTheme="minorEastAsia" w:cs="仿宋" w:hint="eastAsia"/>
                <w:b/>
                <w:bCs/>
                <w:kern w:val="0"/>
              </w:rPr>
              <w:t>0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</w:t>
            </w:r>
            <w:r>
              <w:rPr>
                <w:rFonts w:ascii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E53403">
        <w:trPr>
          <w:trHeight w:val="341"/>
          <w:jc w:val="center"/>
        </w:trPr>
        <w:tc>
          <w:tcPr>
            <w:tcW w:w="743" w:type="dxa"/>
            <w:vAlign w:val="center"/>
          </w:tcPr>
          <w:p w:rsidR="00E53403" w:rsidRDefault="0008636A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质保期后的维护费用报价（5分）</w:t>
            </w:r>
          </w:p>
          <w:p w:rsidR="00E53403" w:rsidRDefault="0008636A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根据各投标人的质保期满后维护费用进行评议。</w:t>
            </w:r>
          </w:p>
        </w:tc>
        <w:tc>
          <w:tcPr>
            <w:tcW w:w="851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E53403" w:rsidRDefault="00E53403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E53403" w:rsidRDefault="00E53403"/>
    <w:sectPr w:rsidR="00E53403" w:rsidSect="00E53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E21" w:rsidRDefault="000A1E21" w:rsidP="000A1E21">
      <w:r>
        <w:separator/>
      </w:r>
    </w:p>
  </w:endnote>
  <w:endnote w:type="continuationSeparator" w:id="1">
    <w:p w:rsidR="000A1E21" w:rsidRDefault="000A1E21" w:rsidP="000A1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E21" w:rsidRDefault="000A1E21" w:rsidP="000A1E21">
      <w:r>
        <w:separator/>
      </w:r>
    </w:p>
  </w:footnote>
  <w:footnote w:type="continuationSeparator" w:id="1">
    <w:p w:rsidR="000A1E21" w:rsidRDefault="000A1E21" w:rsidP="000A1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EAE31D"/>
    <w:multiLevelType w:val="singleLevel"/>
    <w:tmpl w:val="9FEAE31D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33891501"/>
    <w:multiLevelType w:val="multilevel"/>
    <w:tmpl w:val="33891501"/>
    <w:lvl w:ilvl="0">
      <w:start w:val="1"/>
      <w:numFmt w:val="decimal"/>
      <w:lvlText w:val="%1."/>
      <w:lvlJc w:val="left"/>
      <w:pPr>
        <w:ind w:left="66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85AF2"/>
    <w:rsid w:val="0008636A"/>
    <w:rsid w:val="000A1E21"/>
    <w:rsid w:val="000B6E80"/>
    <w:rsid w:val="000E4EEF"/>
    <w:rsid w:val="001031FE"/>
    <w:rsid w:val="00165620"/>
    <w:rsid w:val="00172EAC"/>
    <w:rsid w:val="001E1376"/>
    <w:rsid w:val="00211D62"/>
    <w:rsid w:val="00222800"/>
    <w:rsid w:val="00245A7F"/>
    <w:rsid w:val="002D2F22"/>
    <w:rsid w:val="0030156B"/>
    <w:rsid w:val="00303BF2"/>
    <w:rsid w:val="003106B0"/>
    <w:rsid w:val="00340841"/>
    <w:rsid w:val="00373C6D"/>
    <w:rsid w:val="00375859"/>
    <w:rsid w:val="003849EA"/>
    <w:rsid w:val="003D45B1"/>
    <w:rsid w:val="00407251"/>
    <w:rsid w:val="00425855"/>
    <w:rsid w:val="00435280"/>
    <w:rsid w:val="004533BE"/>
    <w:rsid w:val="00462E30"/>
    <w:rsid w:val="00464ADF"/>
    <w:rsid w:val="00472DC3"/>
    <w:rsid w:val="004732C1"/>
    <w:rsid w:val="00475DDB"/>
    <w:rsid w:val="004773DD"/>
    <w:rsid w:val="004C78F1"/>
    <w:rsid w:val="004D0EBA"/>
    <w:rsid w:val="004F2159"/>
    <w:rsid w:val="00520E40"/>
    <w:rsid w:val="00522595"/>
    <w:rsid w:val="00524161"/>
    <w:rsid w:val="0057478C"/>
    <w:rsid w:val="00600D27"/>
    <w:rsid w:val="00627A9A"/>
    <w:rsid w:val="00655869"/>
    <w:rsid w:val="006A14D6"/>
    <w:rsid w:val="00760F90"/>
    <w:rsid w:val="0085264B"/>
    <w:rsid w:val="00876452"/>
    <w:rsid w:val="00885CCF"/>
    <w:rsid w:val="00983962"/>
    <w:rsid w:val="00986E52"/>
    <w:rsid w:val="009A71CA"/>
    <w:rsid w:val="009E6120"/>
    <w:rsid w:val="009F5649"/>
    <w:rsid w:val="00A01AAC"/>
    <w:rsid w:val="00A55528"/>
    <w:rsid w:val="00A64882"/>
    <w:rsid w:val="00A655B1"/>
    <w:rsid w:val="00A67719"/>
    <w:rsid w:val="00A74999"/>
    <w:rsid w:val="00A81E58"/>
    <w:rsid w:val="00A97922"/>
    <w:rsid w:val="00AB0A1B"/>
    <w:rsid w:val="00BA1FC9"/>
    <w:rsid w:val="00BA23AD"/>
    <w:rsid w:val="00BB3846"/>
    <w:rsid w:val="00BD3F16"/>
    <w:rsid w:val="00BF352C"/>
    <w:rsid w:val="00C06DAC"/>
    <w:rsid w:val="00C100CB"/>
    <w:rsid w:val="00C13BBA"/>
    <w:rsid w:val="00C31138"/>
    <w:rsid w:val="00C41C73"/>
    <w:rsid w:val="00C54930"/>
    <w:rsid w:val="00C60A82"/>
    <w:rsid w:val="00C83DB2"/>
    <w:rsid w:val="00C9159F"/>
    <w:rsid w:val="00CB2771"/>
    <w:rsid w:val="00CC58A3"/>
    <w:rsid w:val="00CC7C2A"/>
    <w:rsid w:val="00CD0D26"/>
    <w:rsid w:val="00CD2C39"/>
    <w:rsid w:val="00CF5126"/>
    <w:rsid w:val="00D076E6"/>
    <w:rsid w:val="00D61A22"/>
    <w:rsid w:val="00D8276E"/>
    <w:rsid w:val="00DD74EC"/>
    <w:rsid w:val="00DF28C5"/>
    <w:rsid w:val="00E404FB"/>
    <w:rsid w:val="00E53403"/>
    <w:rsid w:val="00E57B0D"/>
    <w:rsid w:val="00EA3641"/>
    <w:rsid w:val="00ED5804"/>
    <w:rsid w:val="00F1253D"/>
    <w:rsid w:val="00FA1357"/>
    <w:rsid w:val="00FD2457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20B97C23"/>
    <w:rsid w:val="20F6042F"/>
    <w:rsid w:val="29124D24"/>
    <w:rsid w:val="2F416D1A"/>
    <w:rsid w:val="39CE38A0"/>
    <w:rsid w:val="3E905A03"/>
    <w:rsid w:val="3FDC09C1"/>
    <w:rsid w:val="411E205F"/>
    <w:rsid w:val="4B375749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71C254BD"/>
    <w:rsid w:val="75BC059B"/>
    <w:rsid w:val="7CE54755"/>
    <w:rsid w:val="7E490D14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uiPriority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E53403"/>
    <w:pPr>
      <w:spacing w:after="120"/>
      <w:ind w:leftChars="200" w:left="420"/>
    </w:pPr>
  </w:style>
  <w:style w:type="paragraph" w:styleId="a4">
    <w:name w:val="Plain Text"/>
    <w:basedOn w:val="a"/>
    <w:link w:val="Char0"/>
    <w:qFormat/>
    <w:rsid w:val="00E53403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53403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E534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E53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E53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53403"/>
    <w:rPr>
      <w:b/>
    </w:rPr>
  </w:style>
  <w:style w:type="character" w:customStyle="1" w:styleId="Char3">
    <w:name w:val="页眉 Char"/>
    <w:basedOn w:val="a0"/>
    <w:link w:val="a7"/>
    <w:uiPriority w:val="99"/>
    <w:semiHidden/>
    <w:qFormat/>
    <w:rsid w:val="00E5340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E53403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E53403"/>
  </w:style>
  <w:style w:type="character" w:customStyle="1" w:styleId="Char0">
    <w:name w:val="纯文本 Char"/>
    <w:basedOn w:val="a0"/>
    <w:link w:val="a4"/>
    <w:qFormat/>
    <w:rsid w:val="00E53403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uiPriority w:val="99"/>
    <w:qFormat/>
    <w:rsid w:val="00E5340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E53403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sid w:val="00E5340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无间隔1"/>
    <w:qFormat/>
    <w:rsid w:val="00E53403"/>
    <w:pPr>
      <w:widowControl w:val="0"/>
      <w:jc w:val="both"/>
    </w:pPr>
    <w:rPr>
      <w:kern w:val="2"/>
      <w:sz w:val="24"/>
      <w:szCs w:val="22"/>
    </w:rPr>
  </w:style>
  <w:style w:type="table" w:customStyle="1" w:styleId="2">
    <w:name w:val="网格型2"/>
    <w:basedOn w:val="a1"/>
    <w:autoRedefine/>
    <w:uiPriority w:val="39"/>
    <w:qFormat/>
    <w:rsid w:val="00E53403"/>
    <w:rPr>
      <w:rFonts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Indent"/>
    <w:basedOn w:val="a"/>
    <w:next w:val="a"/>
    <w:qFormat/>
    <w:rsid w:val="00CD0D26"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c">
    <w:name w:val="Normal (Web)"/>
    <w:basedOn w:val="a"/>
    <w:qFormat/>
    <w:rsid w:val="00CD0D26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B833-0595-4EDE-AA32-0819CBD0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67</cp:revision>
  <dcterms:created xsi:type="dcterms:W3CDTF">2023-02-21T04:26:00Z</dcterms:created>
  <dcterms:modified xsi:type="dcterms:W3CDTF">2025-06-06T07:22:00Z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47DB7ABD06F14537BDD024153D12F85F</vt:lpwstr>
  </property>
  <property fmtid="{D5CDD505-2E9C-101B-9397-08002B2CF9AE}" pid="4" name="KSOTemplateDocerSaveRecord">
    <vt:lpwstr>eyJoZGlkIjoiNjEyZDdmMzQzZjY2ODYzNTY0ZDMyYjFiMDE3YjdiYjIiLCJ1c2VySWQiOiI0MDIyNDIwOTMifQ==</vt:lpwstr>
  </property>
</Properties>
</file>