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542D78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6E2003" w:rsidRPr="006E2003">
        <w:rPr>
          <w:rFonts w:hint="eastAsia"/>
          <w:b/>
          <w:sz w:val="30"/>
          <w:szCs w:val="30"/>
        </w:rPr>
        <w:t>硬式内镜</w:t>
      </w:r>
      <w:r w:rsidR="006E2003">
        <w:rPr>
          <w:rFonts w:hint="eastAsia"/>
          <w:b/>
          <w:sz w:val="30"/>
          <w:szCs w:val="30"/>
        </w:rPr>
        <w:t>维保</w:t>
      </w:r>
      <w:r w:rsidR="0078708A">
        <w:rPr>
          <w:rFonts w:hint="eastAsia"/>
          <w:b/>
          <w:sz w:val="30"/>
          <w:szCs w:val="30"/>
        </w:rPr>
        <w:t>和</w:t>
      </w:r>
      <w:proofErr w:type="gramEnd"/>
      <w:r w:rsidR="0078708A">
        <w:rPr>
          <w:rFonts w:hint="eastAsia"/>
          <w:b/>
          <w:sz w:val="30"/>
          <w:szCs w:val="30"/>
        </w:rPr>
        <w:t>部分医疗设备检测</w:t>
      </w:r>
      <w:r w:rsidR="00A26EF6">
        <w:rPr>
          <w:rFonts w:hint="eastAsia"/>
          <w:b/>
          <w:sz w:val="30"/>
          <w:szCs w:val="30"/>
        </w:rPr>
        <w:t>服务</w:t>
      </w:r>
      <w:r w:rsidR="004613F6" w:rsidRPr="00201A0C">
        <w:rPr>
          <w:rFonts w:hint="eastAsia"/>
          <w:b/>
          <w:sz w:val="30"/>
          <w:szCs w:val="30"/>
        </w:rPr>
        <w:t>院内</w:t>
      </w:r>
      <w:r w:rsidR="00283FFD" w:rsidRPr="00201A0C">
        <w:rPr>
          <w:rFonts w:hint="eastAsia"/>
          <w:b/>
          <w:sz w:val="30"/>
          <w:szCs w:val="30"/>
        </w:rPr>
        <w:t>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D90771" w:rsidRDefault="00D90771" w:rsidP="00D90771">
      <w:pPr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DE3DA2" w:rsidRPr="00D90771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46"/>
        <w:gridCol w:w="3040"/>
        <w:gridCol w:w="709"/>
        <w:gridCol w:w="2380"/>
        <w:gridCol w:w="1639"/>
      </w:tblGrid>
      <w:tr w:rsidR="00542D78" w:rsidRPr="00FF713D" w:rsidTr="00A31204">
        <w:tc>
          <w:tcPr>
            <w:tcW w:w="646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040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09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380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639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542D78" w:rsidTr="00A31204">
        <w:trPr>
          <w:trHeight w:val="421"/>
        </w:trPr>
        <w:tc>
          <w:tcPr>
            <w:tcW w:w="646" w:type="dxa"/>
          </w:tcPr>
          <w:p w:rsidR="00542D78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40" w:type="dxa"/>
          </w:tcPr>
          <w:p w:rsidR="00542D78" w:rsidRPr="00D97566" w:rsidRDefault="006E2003" w:rsidP="00542D7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硬式内镜维保</w:t>
            </w:r>
            <w:proofErr w:type="gramEnd"/>
          </w:p>
        </w:tc>
        <w:tc>
          <w:tcPr>
            <w:tcW w:w="709" w:type="dxa"/>
          </w:tcPr>
          <w:p w:rsidR="00542D78" w:rsidRDefault="00542D78" w:rsidP="004A1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31204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2380" w:type="dxa"/>
          </w:tcPr>
          <w:p w:rsidR="00542D78" w:rsidRPr="00A31204" w:rsidRDefault="004A1A64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具体见附件1</w:t>
            </w:r>
          </w:p>
        </w:tc>
        <w:tc>
          <w:tcPr>
            <w:tcW w:w="1639" w:type="dxa"/>
          </w:tcPr>
          <w:p w:rsidR="00542D78" w:rsidRDefault="006E2003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542D78">
              <w:rPr>
                <w:rFonts w:ascii="宋体" w:hAnsi="宋体" w:hint="eastAsia"/>
                <w:szCs w:val="21"/>
              </w:rPr>
              <w:t>5</w:t>
            </w:r>
            <w:r w:rsidR="00542D78" w:rsidRPr="00E13680">
              <w:rPr>
                <w:rFonts w:ascii="宋体" w:hAnsi="宋体" w:hint="eastAsia"/>
                <w:szCs w:val="21"/>
              </w:rPr>
              <w:t>万元</w:t>
            </w:r>
            <w:r w:rsidR="005F3AEC">
              <w:rPr>
                <w:rFonts w:ascii="宋体" w:hAnsi="宋体" w:hint="eastAsia"/>
                <w:szCs w:val="21"/>
              </w:rPr>
              <w:t>/年</w:t>
            </w:r>
          </w:p>
        </w:tc>
      </w:tr>
      <w:tr w:rsidR="00542D78" w:rsidRPr="00FF713D" w:rsidTr="00A31204">
        <w:trPr>
          <w:trHeight w:val="412"/>
        </w:trPr>
        <w:tc>
          <w:tcPr>
            <w:tcW w:w="646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40" w:type="dxa"/>
          </w:tcPr>
          <w:p w:rsidR="00542D78" w:rsidRPr="00FF713D" w:rsidRDefault="00A26EF6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部分</w:t>
            </w:r>
            <w:r w:rsidR="006E2003">
              <w:rPr>
                <w:rFonts w:ascii="宋体" w:hAnsi="宋体" w:hint="eastAsia"/>
                <w:szCs w:val="21"/>
              </w:rPr>
              <w:t>医疗设备检测</w:t>
            </w:r>
            <w:r>
              <w:rPr>
                <w:rFonts w:ascii="宋体" w:hAnsi="宋体" w:hint="eastAsia"/>
                <w:szCs w:val="21"/>
              </w:rPr>
              <w:t>服务</w:t>
            </w:r>
          </w:p>
        </w:tc>
        <w:tc>
          <w:tcPr>
            <w:tcW w:w="709" w:type="dxa"/>
          </w:tcPr>
          <w:p w:rsidR="00542D78" w:rsidRPr="009653A8" w:rsidRDefault="00542D78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26EF6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2380" w:type="dxa"/>
          </w:tcPr>
          <w:p w:rsidR="00542D78" w:rsidRDefault="004A1A64" w:rsidP="004A1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具体见附件2</w:t>
            </w:r>
          </w:p>
        </w:tc>
        <w:tc>
          <w:tcPr>
            <w:tcW w:w="1639" w:type="dxa"/>
          </w:tcPr>
          <w:p w:rsidR="00542D78" w:rsidRPr="00FF713D" w:rsidRDefault="00D0671C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542D78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1A42F2">
        <w:rPr>
          <w:rFonts w:asciiTheme="minorEastAsia" w:hAnsiTheme="minorEastAsia"/>
          <w:sz w:val="24"/>
          <w:szCs w:val="24"/>
        </w:rPr>
        <w:t>要求</w:t>
      </w:r>
      <w:r w:rsidRPr="001A42F2">
        <w:rPr>
          <w:rFonts w:asciiTheme="minorEastAsia" w:hAnsiTheme="minorEastAsia" w:hint="eastAsia"/>
          <w:sz w:val="24"/>
          <w:szCs w:val="24"/>
        </w:rPr>
        <w:t>:</w:t>
      </w:r>
    </w:p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2、单位负责人为同一人或者存在直接控股、管理关系的不同投标人，不得参加同一</w:t>
      </w:r>
      <w:r w:rsidR="00A41051">
        <w:rPr>
          <w:rFonts w:asciiTheme="minorEastAsia" w:hAnsiTheme="minorEastAsia" w:hint="eastAsia"/>
          <w:sz w:val="24"/>
          <w:szCs w:val="24"/>
        </w:rPr>
        <w:t>项目</w:t>
      </w:r>
      <w:r w:rsidRPr="001A42F2">
        <w:rPr>
          <w:rFonts w:asciiTheme="minorEastAsia" w:hAnsiTheme="minorEastAsia" w:hint="eastAsia"/>
          <w:sz w:val="24"/>
          <w:szCs w:val="24"/>
        </w:rPr>
        <w:t>的投标。</w:t>
      </w:r>
    </w:p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4A1A64" w:rsidRPr="001A42F2" w:rsidRDefault="004A1A64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4、本项目不接受联合体投标，实行资格后审。</w:t>
      </w:r>
    </w:p>
    <w:p w:rsidR="00201A0C" w:rsidRPr="00C80C58" w:rsidRDefault="004A1A64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C80C58">
        <w:rPr>
          <w:rFonts w:asciiTheme="minorEastAsia" w:hAnsiTheme="minorEastAsia"/>
          <w:sz w:val="24"/>
          <w:szCs w:val="24"/>
        </w:rPr>
        <w:t>要求</w:t>
      </w:r>
      <w:r w:rsidR="004E143E" w:rsidRPr="00C80C58">
        <w:rPr>
          <w:rFonts w:asciiTheme="minorEastAsia" w:hAnsiTheme="minorEastAsia" w:hint="eastAsia"/>
          <w:sz w:val="24"/>
          <w:szCs w:val="24"/>
        </w:rPr>
        <w:t>:</w:t>
      </w:r>
    </w:p>
    <w:p w:rsidR="00BB67BC" w:rsidRPr="00C80C58" w:rsidRDefault="001E2D05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 w:hint="eastAsia"/>
          <w:sz w:val="24"/>
          <w:szCs w:val="24"/>
        </w:rPr>
        <w:t>1、</w:t>
      </w:r>
      <w:r w:rsidR="000B4243" w:rsidRPr="00C80C58">
        <w:rPr>
          <w:rFonts w:asciiTheme="minorEastAsia" w:hAnsiTheme="minorEastAsia" w:hint="eastAsia"/>
          <w:sz w:val="24"/>
          <w:szCs w:val="24"/>
        </w:rPr>
        <w:t>希望有资质和实力的供应商</w:t>
      </w:r>
      <w:r w:rsidR="000B4243" w:rsidRPr="00C80C58">
        <w:rPr>
          <w:rFonts w:asciiTheme="minorEastAsia" w:hAnsiTheme="minorEastAsia"/>
          <w:sz w:val="24"/>
          <w:szCs w:val="24"/>
        </w:rPr>
        <w:t>参与投标</w:t>
      </w:r>
      <w:r w:rsidR="000B4243" w:rsidRPr="00C80C58">
        <w:rPr>
          <w:rFonts w:asciiTheme="minorEastAsia" w:hAnsiTheme="minorEastAsia" w:hint="eastAsia"/>
          <w:sz w:val="24"/>
          <w:szCs w:val="24"/>
        </w:rPr>
        <w:t>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2、参与投标应提供以下资料（标书一正三副，正本须加盖红章）：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2.1</w:t>
      </w:r>
      <w:r w:rsidR="00A26EF6" w:rsidRPr="00C80C58">
        <w:rPr>
          <w:rFonts w:asciiTheme="minorEastAsia" w:hAnsiTheme="minorEastAsia" w:hint="eastAsia"/>
          <w:sz w:val="24"/>
          <w:szCs w:val="24"/>
        </w:rPr>
        <w:t>相关资质能力证明文件，包括但不限于：</w:t>
      </w:r>
      <w:r w:rsidRPr="00C80C58">
        <w:rPr>
          <w:rFonts w:asciiTheme="minorEastAsia" w:hAnsiTheme="minorEastAsia"/>
          <w:sz w:val="24"/>
          <w:szCs w:val="24"/>
        </w:rPr>
        <w:t>营业执照复印件</w:t>
      </w:r>
      <w:r w:rsidR="00A26EF6" w:rsidRPr="00C80C58">
        <w:rPr>
          <w:rFonts w:asciiTheme="minorEastAsia" w:hAnsiTheme="minorEastAsia" w:hint="eastAsia"/>
          <w:sz w:val="24"/>
          <w:szCs w:val="24"/>
        </w:rPr>
        <w:t>、服务资质能力证明材料</w:t>
      </w:r>
      <w:r w:rsidRPr="00C80C58">
        <w:rPr>
          <w:rFonts w:asciiTheme="minorEastAsia" w:hAnsiTheme="minorEastAsia"/>
          <w:sz w:val="24"/>
          <w:szCs w:val="24"/>
        </w:rPr>
        <w:t>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2.2</w:t>
      </w:r>
      <w:r w:rsidR="00A26EF6" w:rsidRPr="00C80C58">
        <w:rPr>
          <w:rFonts w:asciiTheme="minorEastAsia" w:hAnsiTheme="minorEastAsia" w:hint="eastAsia"/>
          <w:sz w:val="24"/>
          <w:szCs w:val="24"/>
        </w:rPr>
        <w:t>服务方案</w:t>
      </w:r>
      <w:r w:rsidRPr="00C80C58">
        <w:rPr>
          <w:rFonts w:asciiTheme="minorEastAsia" w:hAnsiTheme="minorEastAsia"/>
          <w:sz w:val="24"/>
          <w:szCs w:val="24"/>
        </w:rPr>
        <w:t>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2.3</w:t>
      </w:r>
      <w:r w:rsidR="00A26EF6" w:rsidRPr="00C80C58">
        <w:rPr>
          <w:rFonts w:asciiTheme="minorEastAsia" w:hAnsiTheme="minorEastAsia" w:hint="eastAsia"/>
          <w:sz w:val="24"/>
          <w:szCs w:val="24"/>
        </w:rPr>
        <w:t>服务项目负责人简历及服务人员配置情况</w:t>
      </w:r>
      <w:r w:rsidRPr="00C80C58">
        <w:rPr>
          <w:rFonts w:asciiTheme="minorEastAsia" w:hAnsiTheme="minorEastAsia"/>
          <w:sz w:val="24"/>
          <w:szCs w:val="24"/>
        </w:rPr>
        <w:t>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2.4</w:t>
      </w:r>
      <w:r w:rsidR="00A26EF6" w:rsidRPr="00C80C58">
        <w:rPr>
          <w:rFonts w:asciiTheme="minorEastAsia" w:hAnsiTheme="minorEastAsia" w:hint="eastAsia"/>
          <w:sz w:val="24"/>
          <w:szCs w:val="24"/>
        </w:rPr>
        <w:t>检测/</w:t>
      </w:r>
      <w:proofErr w:type="gramStart"/>
      <w:r w:rsidR="00A26EF6" w:rsidRPr="00C80C58">
        <w:rPr>
          <w:rFonts w:asciiTheme="minorEastAsia" w:hAnsiTheme="minorEastAsia" w:hint="eastAsia"/>
          <w:sz w:val="24"/>
          <w:szCs w:val="24"/>
        </w:rPr>
        <w:t>维保服务</w:t>
      </w:r>
      <w:proofErr w:type="gramEnd"/>
      <w:r w:rsidR="00A26EF6" w:rsidRPr="00C80C58">
        <w:rPr>
          <w:rFonts w:asciiTheme="minorEastAsia" w:hAnsiTheme="minorEastAsia" w:hint="eastAsia"/>
          <w:sz w:val="24"/>
          <w:szCs w:val="24"/>
        </w:rPr>
        <w:t>设备配置情况</w:t>
      </w:r>
      <w:r w:rsidRPr="00C80C58">
        <w:rPr>
          <w:rFonts w:asciiTheme="minorEastAsia" w:hAnsiTheme="minorEastAsia"/>
          <w:sz w:val="24"/>
          <w:szCs w:val="24"/>
        </w:rPr>
        <w:t>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2.5投标代表的法人授权书及身份证复印件，并带身份证原件；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2.6</w:t>
      </w:r>
      <w:r w:rsidR="00A874B6" w:rsidRPr="00C80C58">
        <w:rPr>
          <w:rFonts w:asciiTheme="minorEastAsia" w:hAnsiTheme="minorEastAsia" w:hint="eastAsia"/>
          <w:sz w:val="24"/>
          <w:szCs w:val="24"/>
        </w:rPr>
        <w:t>服务</w:t>
      </w:r>
      <w:r w:rsidR="00A874B6" w:rsidRPr="00C80C58">
        <w:rPr>
          <w:rFonts w:asciiTheme="minorEastAsia" w:hAnsiTheme="minorEastAsia"/>
          <w:sz w:val="24"/>
          <w:szCs w:val="24"/>
        </w:rPr>
        <w:t>质量保证书、廉洁承诺书；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2.7</w:t>
      </w:r>
      <w:r w:rsidR="00A874B6" w:rsidRPr="00C80C58">
        <w:rPr>
          <w:rFonts w:asciiTheme="minorEastAsia" w:hAnsiTheme="minorEastAsia"/>
          <w:sz w:val="24"/>
          <w:szCs w:val="24"/>
        </w:rPr>
        <w:t>投标一览表</w:t>
      </w:r>
      <w:r w:rsidR="00A874B6" w:rsidRPr="00C80C58">
        <w:rPr>
          <w:rFonts w:asciiTheme="minorEastAsia" w:hAnsiTheme="minorEastAsia" w:hint="eastAsia"/>
          <w:sz w:val="24"/>
          <w:szCs w:val="24"/>
        </w:rPr>
        <w:t>、</w:t>
      </w:r>
      <w:r w:rsidR="00A874B6" w:rsidRPr="00C80C58">
        <w:rPr>
          <w:rFonts w:asciiTheme="minorEastAsia" w:hAnsiTheme="minorEastAsia"/>
          <w:sz w:val="24"/>
          <w:szCs w:val="24"/>
        </w:rPr>
        <w:t>投标报价表</w:t>
      </w:r>
      <w:r w:rsidR="00A874B6" w:rsidRPr="00C80C58">
        <w:rPr>
          <w:rFonts w:asciiTheme="minorEastAsia" w:hAnsiTheme="minorEastAsia" w:hint="eastAsia"/>
          <w:sz w:val="24"/>
          <w:szCs w:val="24"/>
        </w:rPr>
        <w:t>及分项</w:t>
      </w:r>
      <w:r w:rsidR="00A874B6" w:rsidRPr="00C80C58">
        <w:rPr>
          <w:rFonts w:asciiTheme="minorEastAsia" w:hAnsiTheme="minorEastAsia"/>
          <w:sz w:val="24"/>
          <w:szCs w:val="24"/>
        </w:rPr>
        <w:t>报价表；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2.8</w:t>
      </w:r>
      <w:r w:rsidR="00A874B6" w:rsidRPr="00C80C58">
        <w:rPr>
          <w:rFonts w:asciiTheme="minorEastAsia" w:hAnsiTheme="minorEastAsia" w:hint="eastAsia"/>
          <w:sz w:val="24"/>
          <w:szCs w:val="24"/>
        </w:rPr>
        <w:t>同类项目</w:t>
      </w:r>
      <w:r w:rsidR="00A874B6" w:rsidRPr="00C80C58">
        <w:rPr>
          <w:rFonts w:asciiTheme="minorEastAsia" w:hAnsiTheme="minorEastAsia"/>
          <w:sz w:val="24"/>
          <w:szCs w:val="24"/>
        </w:rPr>
        <w:t>业绩（提供合同复印件）；</w:t>
      </w:r>
    </w:p>
    <w:p w:rsidR="00201A0C" w:rsidRPr="00C80C58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80C58">
        <w:rPr>
          <w:rFonts w:asciiTheme="minorEastAsia" w:hAnsiTheme="minorEastAsia"/>
          <w:sz w:val="24"/>
          <w:szCs w:val="24"/>
        </w:rPr>
        <w:t>2.9</w:t>
      </w:r>
      <w:r w:rsidR="00A874B6" w:rsidRPr="00C80C58">
        <w:rPr>
          <w:rFonts w:asciiTheme="minorEastAsia" w:hAnsiTheme="minorEastAsia"/>
          <w:sz w:val="24"/>
          <w:szCs w:val="24"/>
        </w:rPr>
        <w:t>标书文件需装订成册，不接收活页形式或通过夹子成型的标书。</w:t>
      </w:r>
    </w:p>
    <w:p w:rsidR="00201A0C" w:rsidRPr="00262E88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报名截止时间202</w:t>
      </w:r>
      <w:r w:rsidR="00094BFD" w:rsidRPr="00262E8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年</w:t>
      </w:r>
      <w:r w:rsidR="001A42F2" w:rsidRPr="00262E8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月</w:t>
      </w:r>
      <w:r w:rsidR="00A41051" w:rsidRPr="00262E88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 w:rsidRPr="00262E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41051" w:rsidRPr="00262E8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62E88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62E88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094BFD" w:rsidRPr="00262E8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年</w:t>
      </w:r>
      <w:r w:rsidR="001A42F2" w:rsidRPr="00262E8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月</w:t>
      </w:r>
      <w:r w:rsidR="00A41051" w:rsidRPr="00262E88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日</w:t>
      </w:r>
      <w:r w:rsidR="00FF741E" w:rsidRPr="00262E88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262E88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 w:rsidRPr="00262E8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262E88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262E8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1A42F2" w:rsidRDefault="004A1A64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1A42F2">
        <w:rPr>
          <w:rFonts w:asciiTheme="minorEastAsia" w:hAnsiTheme="minorEastAsia" w:hint="eastAsia"/>
          <w:sz w:val="24"/>
          <w:szCs w:val="24"/>
        </w:rPr>
        <w:t>．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4A1A6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9C69C7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服务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时间：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按院方实际需要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服务</w:t>
      </w:r>
      <w:r w:rsidR="009C69C7">
        <w:rPr>
          <w:rFonts w:asciiTheme="minorEastAsia" w:hAnsiTheme="minorEastAsia" w:cs="宋体" w:hint="eastAsia"/>
          <w:kern w:val="0"/>
          <w:sz w:val="24"/>
          <w:szCs w:val="24"/>
        </w:rPr>
        <w:t>期限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：</w:t>
      </w:r>
      <w:r w:rsidR="0078708A">
        <w:rPr>
          <w:rFonts w:asciiTheme="minorEastAsia" w:hAnsiTheme="minorEastAsia" w:cs="宋体" w:hint="eastAsia"/>
          <w:kern w:val="0"/>
          <w:sz w:val="24"/>
          <w:szCs w:val="24"/>
        </w:rPr>
        <w:t>合同签订日起一年，合同期满根据院方需求及服务质量决定是否续签。</w:t>
      </w:r>
      <w:r w:rsidR="0078708A" w:rsidRPr="00201A0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201A0C" w:rsidRDefault="009C69C7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付款方式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合同签订后2个月内支付</w:t>
      </w:r>
      <w:r w:rsidR="00F0050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0%，余款在服务完成后2个月内支付。</w:t>
      </w:r>
    </w:p>
    <w:p w:rsidR="009C69C7" w:rsidRPr="00F00505" w:rsidRDefault="009C69C7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9C69C7" w:rsidRPr="00201A0C" w:rsidRDefault="009C69C7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Pr="00262E88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62E88">
        <w:rPr>
          <w:rFonts w:asciiTheme="minorEastAsia" w:hAnsiTheme="minorEastAsia" w:cs="宋体"/>
          <w:kern w:val="0"/>
          <w:sz w:val="24"/>
          <w:szCs w:val="24"/>
        </w:rPr>
        <w:t>202</w:t>
      </w:r>
      <w:r w:rsidR="00094BFD" w:rsidRPr="00262E8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年</w:t>
      </w:r>
      <w:r w:rsidR="004A1A64" w:rsidRPr="00262E8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月</w:t>
      </w:r>
      <w:r w:rsidR="00A41051" w:rsidRPr="00262E88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262E88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AA3BB7" w:rsidRPr="00C866C1" w:rsidRDefault="00AA3BB7" w:rsidP="00803D10">
      <w:pPr>
        <w:rPr>
          <w:b/>
          <w:sz w:val="18"/>
          <w:szCs w:val="18"/>
        </w:rPr>
      </w:pPr>
    </w:p>
    <w:p w:rsidR="00284CC9" w:rsidRPr="009C4044" w:rsidRDefault="00803D10" w:rsidP="009C4044">
      <w:pPr>
        <w:rPr>
          <w:sz w:val="24"/>
          <w:szCs w:val="24"/>
        </w:rPr>
      </w:pPr>
      <w:r w:rsidRPr="009C4044">
        <w:rPr>
          <w:rFonts w:hint="eastAsia"/>
          <w:b/>
          <w:sz w:val="24"/>
          <w:szCs w:val="24"/>
        </w:rPr>
        <w:t>附件</w:t>
      </w:r>
      <w:r w:rsidRPr="009C4044">
        <w:rPr>
          <w:rFonts w:hint="eastAsia"/>
          <w:sz w:val="24"/>
          <w:szCs w:val="24"/>
        </w:rPr>
        <w:t>：</w:t>
      </w:r>
      <w:r w:rsidRPr="009C4044">
        <w:rPr>
          <w:rFonts w:asciiTheme="minorEastAsia" w:hAnsiTheme="minorEastAsia" w:cs="宋体" w:hint="eastAsia"/>
          <w:b/>
          <w:kern w:val="0"/>
          <w:sz w:val="24"/>
          <w:szCs w:val="24"/>
        </w:rPr>
        <w:t>项目评分表</w:t>
      </w:r>
      <w:r w:rsidR="00D66AA6" w:rsidRPr="009C4044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9C4044" w:rsidRPr="00B53D4F" w:rsidTr="00AA6889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9C4044" w:rsidRPr="00F444C3" w:rsidRDefault="009C4044" w:rsidP="00AA6889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9C4044" w:rsidRPr="00F444C3" w:rsidRDefault="009C4044" w:rsidP="00AA6889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9C4044" w:rsidRPr="00F444C3" w:rsidRDefault="009C4044" w:rsidP="00AA6889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9C4044" w:rsidRPr="00B53D4F" w:rsidTr="00AA6889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C4044" w:rsidRPr="00B53D4F" w:rsidTr="00AA6889">
        <w:trPr>
          <w:trHeight w:val="346"/>
          <w:jc w:val="center"/>
        </w:trPr>
        <w:tc>
          <w:tcPr>
            <w:tcW w:w="743" w:type="dxa"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9C4044" w:rsidRDefault="009C4044" w:rsidP="00AA688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分(25分)</w:t>
            </w:r>
          </w:p>
          <w:p w:rsidR="009C4044" w:rsidRPr="008A1AB2" w:rsidRDefault="009C4044" w:rsidP="009C4044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25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</w:t>
            </w:r>
            <w:r>
              <w:rPr>
                <w:rFonts w:ascii="宋体" w:hAnsi="宋体" w:cs="宋体" w:hint="eastAsia"/>
                <w:color w:val="000000" w:themeColor="text1"/>
              </w:rPr>
              <w:t>两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位数）</w:t>
            </w:r>
          </w:p>
        </w:tc>
        <w:tc>
          <w:tcPr>
            <w:tcW w:w="851" w:type="dxa"/>
            <w:vAlign w:val="center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C4044" w:rsidRPr="00B53D4F" w:rsidTr="00AA6889">
        <w:trPr>
          <w:trHeight w:val="346"/>
          <w:jc w:val="center"/>
        </w:trPr>
        <w:tc>
          <w:tcPr>
            <w:tcW w:w="743" w:type="dxa"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9C4044" w:rsidRPr="00930358" w:rsidRDefault="009C4044" w:rsidP="009C404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2022年-1月起供应商承接过的同类项目业绩，一家单位得1分；最高得3分。（投标文件须附加盖公章的合同复印件，时间以合同签订时间为准，原件备查）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C4044" w:rsidRPr="00B53D4F" w:rsidTr="00AA6889">
        <w:trPr>
          <w:trHeight w:val="341"/>
          <w:jc w:val="center"/>
        </w:trPr>
        <w:tc>
          <w:tcPr>
            <w:tcW w:w="743" w:type="dxa"/>
            <w:vAlign w:val="center"/>
          </w:tcPr>
          <w:p w:rsidR="009C4044" w:rsidRPr="00D873AC" w:rsidRDefault="009C4044" w:rsidP="00AA6889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9C4044" w:rsidRDefault="009C4044" w:rsidP="00AA688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(30分)</w:t>
            </w:r>
          </w:p>
          <w:p w:rsidR="009C4044" w:rsidRPr="00B53D4F" w:rsidRDefault="009C4044" w:rsidP="00AA688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根据供应商针对该项目提供的项目负责人经验、服务人员</w:t>
            </w:r>
            <w:r>
              <w:rPr>
                <w:rFonts w:ascii="宋体" w:hAnsi="宋体" w:hint="eastAsia"/>
              </w:rPr>
              <w:lastRenderedPageBreak/>
              <w:t>资质、实力、服务能力等进行综合评议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C4044" w:rsidRPr="00B53D4F" w:rsidTr="00AA6889">
        <w:trPr>
          <w:trHeight w:val="341"/>
          <w:jc w:val="center"/>
        </w:trPr>
        <w:tc>
          <w:tcPr>
            <w:tcW w:w="743" w:type="dxa"/>
            <w:vAlign w:val="center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9C4044" w:rsidRDefault="009C4044" w:rsidP="00AA688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服务实施方案(35分)</w:t>
            </w:r>
          </w:p>
          <w:p w:rsidR="009C4044" w:rsidRPr="00051CFC" w:rsidRDefault="009C4044" w:rsidP="00AA688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应商对本项目的工作计划、实施方案、质量、工期保证措施及与院方配合方案等进行</w:t>
            </w:r>
            <w:r w:rsidRPr="008F1D4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9C4044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C4044" w:rsidRPr="00B53D4F" w:rsidTr="00AA6889">
        <w:trPr>
          <w:trHeight w:val="341"/>
          <w:jc w:val="center"/>
        </w:trPr>
        <w:tc>
          <w:tcPr>
            <w:tcW w:w="743" w:type="dxa"/>
            <w:vAlign w:val="center"/>
          </w:tcPr>
          <w:p w:rsidR="009C4044" w:rsidRPr="00E84739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9C4044" w:rsidRDefault="009C4044" w:rsidP="009C404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C404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检测/</w:t>
            </w:r>
            <w:proofErr w:type="gramStart"/>
            <w:r w:rsidRPr="009C404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维保服务</w:t>
            </w:r>
            <w:proofErr w:type="gramEnd"/>
            <w:r w:rsidRPr="009C404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设备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（5分）</w:t>
            </w:r>
          </w:p>
          <w:p w:rsidR="009C4044" w:rsidRPr="009C4044" w:rsidRDefault="009C4044" w:rsidP="00AA688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应商提供的</w:t>
            </w:r>
            <w:r w:rsidRPr="00C80C58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检测/</w:t>
            </w:r>
            <w:proofErr w:type="gramStart"/>
            <w:r w:rsidRPr="00C80C58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维保服务</w:t>
            </w:r>
            <w:proofErr w:type="gramEnd"/>
            <w:r w:rsidRPr="00C80C58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设备配置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</w:t>
            </w:r>
            <w:r w:rsidRPr="008F1D4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9C4044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C4044" w:rsidRPr="00B53D4F" w:rsidTr="00AA6889">
        <w:trPr>
          <w:trHeight w:val="341"/>
          <w:jc w:val="center"/>
        </w:trPr>
        <w:tc>
          <w:tcPr>
            <w:tcW w:w="743" w:type="dxa"/>
            <w:vAlign w:val="center"/>
          </w:tcPr>
          <w:p w:rsidR="009C4044" w:rsidRPr="00E84739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9C4044" w:rsidRDefault="009C4044" w:rsidP="00AA688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优于标书的承诺（2分）</w:t>
            </w:r>
          </w:p>
          <w:p w:rsidR="009C4044" w:rsidRPr="00051CFC" w:rsidRDefault="009C4044" w:rsidP="00AA688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优于标书的建议承诺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酌情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得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9C4044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044" w:rsidRPr="00B53D4F" w:rsidRDefault="009C4044" w:rsidP="00AA6889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9C4044" w:rsidRDefault="009C4044" w:rsidP="009C4044">
      <w:pPr>
        <w:rPr>
          <w:rFonts w:asciiTheme="minorEastAsia" w:hAnsiTheme="minorEastAsia"/>
          <w:b/>
          <w:bCs/>
          <w:sz w:val="32"/>
          <w:szCs w:val="32"/>
        </w:rPr>
      </w:pPr>
    </w:p>
    <w:p w:rsidR="00CE2FE8" w:rsidRPr="009C4044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RPr="009C404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5554AB"/>
    <w:multiLevelType w:val="hybridMultilevel"/>
    <w:tmpl w:val="4A96DCB8"/>
    <w:lvl w:ilvl="0" w:tplc="E8DA908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6335"/>
    <w:rsid w:val="00011A1D"/>
    <w:rsid w:val="00016D33"/>
    <w:rsid w:val="00021763"/>
    <w:rsid w:val="000262BB"/>
    <w:rsid w:val="00031856"/>
    <w:rsid w:val="00045E5D"/>
    <w:rsid w:val="00057B21"/>
    <w:rsid w:val="00057F22"/>
    <w:rsid w:val="000603E3"/>
    <w:rsid w:val="000615A2"/>
    <w:rsid w:val="00075881"/>
    <w:rsid w:val="00080700"/>
    <w:rsid w:val="00092AF2"/>
    <w:rsid w:val="00094BFD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048B"/>
    <w:rsid w:val="00102CD2"/>
    <w:rsid w:val="00113BF2"/>
    <w:rsid w:val="00120A41"/>
    <w:rsid w:val="00141F17"/>
    <w:rsid w:val="00146845"/>
    <w:rsid w:val="0014691B"/>
    <w:rsid w:val="0016352E"/>
    <w:rsid w:val="001752A1"/>
    <w:rsid w:val="001768E2"/>
    <w:rsid w:val="00180E7C"/>
    <w:rsid w:val="00183FE2"/>
    <w:rsid w:val="00195040"/>
    <w:rsid w:val="001A42F2"/>
    <w:rsid w:val="001A7115"/>
    <w:rsid w:val="001B697F"/>
    <w:rsid w:val="001B71E0"/>
    <w:rsid w:val="001D1015"/>
    <w:rsid w:val="001D1D1C"/>
    <w:rsid w:val="001E2D05"/>
    <w:rsid w:val="00201A0C"/>
    <w:rsid w:val="0025059E"/>
    <w:rsid w:val="00262E88"/>
    <w:rsid w:val="00263774"/>
    <w:rsid w:val="00272502"/>
    <w:rsid w:val="002733A2"/>
    <w:rsid w:val="00283FFD"/>
    <w:rsid w:val="00284691"/>
    <w:rsid w:val="00284CC9"/>
    <w:rsid w:val="00293A18"/>
    <w:rsid w:val="002952EE"/>
    <w:rsid w:val="00297312"/>
    <w:rsid w:val="002B03C6"/>
    <w:rsid w:val="002C0747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40F9"/>
    <w:rsid w:val="003649D2"/>
    <w:rsid w:val="003738E4"/>
    <w:rsid w:val="00386AD3"/>
    <w:rsid w:val="00387A30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37A2E"/>
    <w:rsid w:val="00451E34"/>
    <w:rsid w:val="004574E6"/>
    <w:rsid w:val="004613F6"/>
    <w:rsid w:val="004626EA"/>
    <w:rsid w:val="004672DB"/>
    <w:rsid w:val="0047502A"/>
    <w:rsid w:val="004810F6"/>
    <w:rsid w:val="00494E9D"/>
    <w:rsid w:val="004A0DD3"/>
    <w:rsid w:val="004A169A"/>
    <w:rsid w:val="004A1A64"/>
    <w:rsid w:val="004A2A0C"/>
    <w:rsid w:val="004C467D"/>
    <w:rsid w:val="004E143E"/>
    <w:rsid w:val="004E39A8"/>
    <w:rsid w:val="004E52DC"/>
    <w:rsid w:val="004F39AD"/>
    <w:rsid w:val="004F3C9B"/>
    <w:rsid w:val="004F422B"/>
    <w:rsid w:val="005017F8"/>
    <w:rsid w:val="00512F76"/>
    <w:rsid w:val="00516258"/>
    <w:rsid w:val="00524EC7"/>
    <w:rsid w:val="00540827"/>
    <w:rsid w:val="00542D78"/>
    <w:rsid w:val="00557777"/>
    <w:rsid w:val="0057336B"/>
    <w:rsid w:val="00593DAC"/>
    <w:rsid w:val="00594565"/>
    <w:rsid w:val="005C434B"/>
    <w:rsid w:val="005C735D"/>
    <w:rsid w:val="005E37B0"/>
    <w:rsid w:val="005E47BA"/>
    <w:rsid w:val="005F280E"/>
    <w:rsid w:val="005F3AEC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003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08A"/>
    <w:rsid w:val="00787D7D"/>
    <w:rsid w:val="0079795D"/>
    <w:rsid w:val="00797F60"/>
    <w:rsid w:val="007A2FBA"/>
    <w:rsid w:val="007A3A8B"/>
    <w:rsid w:val="007A417F"/>
    <w:rsid w:val="007B1E36"/>
    <w:rsid w:val="007B218B"/>
    <w:rsid w:val="007B6CEE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48F2"/>
    <w:rsid w:val="008573FB"/>
    <w:rsid w:val="00865DE8"/>
    <w:rsid w:val="00871DA5"/>
    <w:rsid w:val="00872861"/>
    <w:rsid w:val="00875806"/>
    <w:rsid w:val="008777C4"/>
    <w:rsid w:val="00877FDA"/>
    <w:rsid w:val="00885381"/>
    <w:rsid w:val="008A4C61"/>
    <w:rsid w:val="008B3FD0"/>
    <w:rsid w:val="008B63FE"/>
    <w:rsid w:val="008C75CC"/>
    <w:rsid w:val="008D0D20"/>
    <w:rsid w:val="008D1D99"/>
    <w:rsid w:val="008D4A9F"/>
    <w:rsid w:val="00903BBD"/>
    <w:rsid w:val="00907E9C"/>
    <w:rsid w:val="00915938"/>
    <w:rsid w:val="0093679A"/>
    <w:rsid w:val="00936E17"/>
    <w:rsid w:val="00952FAE"/>
    <w:rsid w:val="009638A3"/>
    <w:rsid w:val="009653A8"/>
    <w:rsid w:val="009702BA"/>
    <w:rsid w:val="009763D9"/>
    <w:rsid w:val="00987CA8"/>
    <w:rsid w:val="0099516E"/>
    <w:rsid w:val="009A6320"/>
    <w:rsid w:val="009B1152"/>
    <w:rsid w:val="009C4044"/>
    <w:rsid w:val="009C43AE"/>
    <w:rsid w:val="009C573A"/>
    <w:rsid w:val="009C67B5"/>
    <w:rsid w:val="009C69C7"/>
    <w:rsid w:val="009D4ED1"/>
    <w:rsid w:val="009E25D0"/>
    <w:rsid w:val="00A20482"/>
    <w:rsid w:val="00A26EF6"/>
    <w:rsid w:val="00A31204"/>
    <w:rsid w:val="00A312B7"/>
    <w:rsid w:val="00A403CA"/>
    <w:rsid w:val="00A41051"/>
    <w:rsid w:val="00A53D4A"/>
    <w:rsid w:val="00A7450C"/>
    <w:rsid w:val="00A874B6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5F2E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1F70"/>
    <w:rsid w:val="00C676D5"/>
    <w:rsid w:val="00C75F98"/>
    <w:rsid w:val="00C80C58"/>
    <w:rsid w:val="00C814DD"/>
    <w:rsid w:val="00C83321"/>
    <w:rsid w:val="00C84AB0"/>
    <w:rsid w:val="00C866C1"/>
    <w:rsid w:val="00C93DB5"/>
    <w:rsid w:val="00C97D51"/>
    <w:rsid w:val="00CA4B79"/>
    <w:rsid w:val="00CC10CD"/>
    <w:rsid w:val="00CC6845"/>
    <w:rsid w:val="00CE2FE8"/>
    <w:rsid w:val="00CE3708"/>
    <w:rsid w:val="00CE5C45"/>
    <w:rsid w:val="00CF2F87"/>
    <w:rsid w:val="00D0646A"/>
    <w:rsid w:val="00D0671C"/>
    <w:rsid w:val="00D14D08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0771"/>
    <w:rsid w:val="00D91A05"/>
    <w:rsid w:val="00D94F45"/>
    <w:rsid w:val="00DB5046"/>
    <w:rsid w:val="00DB5431"/>
    <w:rsid w:val="00DC3FE2"/>
    <w:rsid w:val="00DC76E7"/>
    <w:rsid w:val="00DD3809"/>
    <w:rsid w:val="00DD3CA4"/>
    <w:rsid w:val="00DE3DA2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E4F0A"/>
    <w:rsid w:val="00EF0B76"/>
    <w:rsid w:val="00EF105B"/>
    <w:rsid w:val="00F00505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1C24"/>
    <w:rsid w:val="00F91D52"/>
    <w:rsid w:val="00F93D35"/>
    <w:rsid w:val="00FA00D1"/>
    <w:rsid w:val="00FB3048"/>
    <w:rsid w:val="00FE1C34"/>
    <w:rsid w:val="00FE700D"/>
    <w:rsid w:val="00FF713D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16</cp:revision>
  <dcterms:created xsi:type="dcterms:W3CDTF">2025-05-14T01:25:00Z</dcterms:created>
  <dcterms:modified xsi:type="dcterms:W3CDTF">2025-05-16T01:31:00Z</dcterms:modified>
</cp:coreProperties>
</file>