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EF" w:rsidRDefault="00645FEF">
      <w:pPr>
        <w:rPr>
          <w:rFonts w:hint="eastAsia"/>
        </w:rPr>
      </w:pPr>
    </w:p>
    <w:p w:rsidR="00902C62" w:rsidRDefault="00902C62" w:rsidP="00902C62">
      <w:pPr>
        <w:spacing w:line="360" w:lineRule="auto"/>
        <w:rPr>
          <w:rFonts w:ascii="宋体" w:hAnsi="宋体" w:hint="eastAsia"/>
          <w:sz w:val="24"/>
        </w:rPr>
      </w:pPr>
      <w:r>
        <w:rPr>
          <w:rFonts w:ascii="宋体" w:hAnsi="宋体" w:hint="eastAsia"/>
          <w:sz w:val="24"/>
        </w:rPr>
        <w:t>附件1、项目服务要求：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人事档案数字化服务包括干部人事档案部分整理和干部数字档案采集，具体包括干部人事档案部分整理、干部数字档案目录录入、个人信息采集、原始图像采集、高清转换、图像纠偏裁边去污等处理及根据干部人事档案内容输入准确的个人信息。</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项目负责人与招标人指定的专人一起做好实体档案的清点交接工作，并做好移交记录。</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本项目由招标单位提供场地，投标人需自行提供电脑、扫描仪、打印机、加工软件等软硬件设施设备及相应耗材。</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（一）档案整理</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1.分类，对归档的材料必须按照《干部档案工作条例》中关于正、副本十类内容的划分进行分类。按照材料的内容、性质以及材料相互之间的内在联系，区别类型，相对集中，进行组合排列。</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2.排序，按照材料形成的先后、材料的逻辑顺序等要求对同一类的材料进行排序，并对每人材料进行页码编号。</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3.编目，按照干部人事档案十大类别材料进行电子目录的录入并打印。要求分类准确，防止类别错误。</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4.复制，档案材料载体变质或字迹退色不清时，须进行抢救。对于圆珠笔、复写纸、铅笔书写的材料进行复制，对于字迹不清、纸张变质的材料进行复制。凡打印、抄写的材料，必须认真细致、核对无误，注明复制单位和日期。</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5.技术加工，在不损害档案材料文字内容、保持档案历史原貌的前提下，对不规则、破损、卷角、折皱、</w:t>
      </w:r>
      <w:proofErr w:type="gramStart"/>
      <w:r>
        <w:rPr>
          <w:rFonts w:ascii="宋体" w:hAnsi="宋体" w:hint="eastAsia"/>
          <w:sz w:val="24"/>
        </w:rPr>
        <w:t>装订边</w:t>
      </w:r>
      <w:proofErr w:type="gramEnd"/>
      <w:r>
        <w:rPr>
          <w:rFonts w:ascii="宋体" w:hAnsi="宋体" w:hint="eastAsia"/>
          <w:sz w:val="24"/>
        </w:rPr>
        <w:t>过窄的材料进行剪裁、折叠、裱糊、加边、包边、去除金属物。</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6.装订，将零散的档案材料按照中组部的边距孔距要求进行装订成册，装订后的档案，目录在卷首，材料排列顺序与目录相符；卷面整洁，全卷整齐、平坦，并装入干部档案盒。</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7.验收入库，对档案进行逐一检验校对。</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（二）档案扫描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1.基本原则</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lastRenderedPageBreak/>
        <w:t>应确保干部人事档案数字化后的内容与纸质档案在内容上一直，确保档案数字化过程中档案信息不被更改，原始图像应保留原纸张颜色、污损情况和文字修改痕迹等原始信息。</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应确保数字化前后纸质档案一致，档案数字图像数量与纸质档案数量相符。</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应确保数字档案可被查找、检索、呈现等，满足相关业务的要求，确保数字档案的连续性，维护其可跟踪、可回溯、可关联、可被发现和</w:t>
      </w:r>
      <w:proofErr w:type="gramStart"/>
      <w:r>
        <w:rPr>
          <w:rFonts w:ascii="宋体" w:hAnsi="宋体" w:hint="eastAsia"/>
          <w:sz w:val="24"/>
        </w:rPr>
        <w:t>可</w:t>
      </w:r>
      <w:proofErr w:type="gramEnd"/>
      <w:r>
        <w:rPr>
          <w:rFonts w:ascii="宋体" w:hAnsi="宋体" w:hint="eastAsia"/>
          <w:sz w:val="24"/>
        </w:rPr>
        <w:t>被再用，数据链不出现断裂。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建立身份认证体系，加密存储体系级数据传输方式等安全保密管理机制，确保档案信息的安全。干部人事档案数字化过程应完整记录，可查询，可追溯。档案图像数据应得到有效保护，不被非法利用、更改或销毁。档案原件</w:t>
      </w:r>
      <w:proofErr w:type="gramStart"/>
      <w:r>
        <w:rPr>
          <w:rFonts w:ascii="宋体" w:hAnsi="宋体" w:hint="eastAsia"/>
          <w:sz w:val="24"/>
        </w:rPr>
        <w:t>不</w:t>
      </w:r>
      <w:proofErr w:type="gramEnd"/>
      <w:r>
        <w:rPr>
          <w:rFonts w:ascii="宋体" w:hAnsi="宋体" w:hint="eastAsia"/>
          <w:sz w:val="24"/>
        </w:rPr>
        <w:t>受损。</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2.档案扫描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符合GB/T1878B的规定，亮度和对比度为中值，无偏移。</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扫描方式：应根据纸质档案材料的具体情况，采用合理的扫描方式进行扫描。大幅面档案应采用大幅面扫描仪进行扫描，或将采用小幅面扫描仪进行扫描后的图像进行拼接处理；纸张状况较差或纸张较脆弱的档案应采用平板扫描方式；纸张较薄或有字迹透印的档案，应在背</w:t>
      </w:r>
      <w:proofErr w:type="gramStart"/>
      <w:r>
        <w:rPr>
          <w:rFonts w:ascii="宋体" w:hAnsi="宋体" w:hint="eastAsia"/>
          <w:sz w:val="24"/>
        </w:rPr>
        <w:t>页后垫白色</w:t>
      </w:r>
      <w:proofErr w:type="gramEnd"/>
      <w:r>
        <w:rPr>
          <w:rFonts w:ascii="宋体" w:hAnsi="宋体" w:hint="eastAsia"/>
          <w:sz w:val="24"/>
        </w:rPr>
        <w:t>衬底扫描；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扫描色彩模式为真彩色24为RGB模式；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扫描分辨率不低于300dpi。</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3.图像处理</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纠偏：对倾斜度大于1°的图像应进行纠偏处理，并对方向不正确的图像应旋转还原；</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裁边：纠偏后的图像应进行裁边处理，去除扫描过程中产生的白边或者黑边；</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图像拼接：对大幅面档案进行分区扫描形成的多幅图像，应进行拼接处理。</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4.图像优化</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（1）图像优化处理方式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应使用计算机软件或人工方式对原始图像数据进行处理，得到优化图像数据。</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原始图像中带有黑白、彩色照片的，应采用人工方式处理，以使优化图像中的照片得到更佳的视觉效果或与原始图像的视觉效果相符。</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原始图像中带有印章的图像区域应使用人工处理方式。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lastRenderedPageBreak/>
        <w:t>带有身份证、学历证、复印件及带有防伪技术的原始图像，或内容不清晰的红色或紫色背景是早期麻纸基材等，优化处理后仍不具有较好辨识效果的，应直接引用原始图像数据。</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（2）质量要求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观看优化图像使用的显示器应符合SJ/T11292的要求，并调整到</w:t>
      </w:r>
      <w:proofErr w:type="spellStart"/>
      <w:r>
        <w:rPr>
          <w:rFonts w:ascii="宋体" w:hAnsi="宋体" w:hint="eastAsia"/>
          <w:sz w:val="24"/>
        </w:rPr>
        <w:t>sRGB</w:t>
      </w:r>
      <w:proofErr w:type="spellEnd"/>
      <w:r>
        <w:rPr>
          <w:rFonts w:ascii="宋体" w:hAnsi="宋体" w:hint="eastAsia"/>
          <w:sz w:val="24"/>
        </w:rPr>
        <w:t>状态。在保证档案信息完整的前提下应满足以下指标：</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图像背景颜色为24位真彩色，且RGB值为（254,246,197）；</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4×4pixels范围以下的背景无关标记为0个，4×4pixels到8×8pixels范围内的背景无关标记以不影响档案信息阅读为准，8×8pixels范围以上的背景无关标记为0个；</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字符灰度平均值≤125.0；</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模糊度≤200.μm。</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（三）数据存储</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（1）存储格式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应采用JPEG格式存储。原始图像数据存储时，应进行图像数据压缩，压缩率≥80%。优化图像数据不进行压缩。</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原始图像数据和优化图像数据分不同文件夹保存。</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（2）存储路径</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原始图像文件存储路径：系统指定路径\人员唯一标识\（原始图像数据）</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优化图像文件存储路径：系统指定路径\人员唯一标识\（优化图像数据）</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（四）数据备份</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（1）备份范围</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经验收合格的人员基本信息、职工档案、干部人事档案目录信息、原始图像数据，优化图像数据等。</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（2）备份方式</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应采用在线、离线相结合的方式实现备份。</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（3）备份标签</w:t>
      </w:r>
    </w:p>
    <w:p w:rsidR="00902C62" w:rsidRDefault="00902C62" w:rsidP="00902C62">
      <w:pPr>
        <w:spacing w:line="360" w:lineRule="auto"/>
        <w:ind w:firstLineChars="200" w:firstLine="480"/>
        <w:rPr>
          <w:rFonts w:ascii="宋体" w:hAnsi="宋体"/>
          <w:szCs w:val="21"/>
        </w:rPr>
      </w:pPr>
      <w:r>
        <w:rPr>
          <w:rFonts w:ascii="宋体" w:hAnsi="宋体" w:hint="eastAsia"/>
          <w:sz w:val="24"/>
        </w:rPr>
        <w:t>离线备份后应在相应的备份介质上做好标签，以便管理查找</w:t>
      </w:r>
      <w:r>
        <w:rPr>
          <w:rFonts w:ascii="宋体" w:hAnsi="宋体" w:hint="eastAsia"/>
          <w:szCs w:val="21"/>
        </w:rPr>
        <w:t>。</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（五）验收</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lastRenderedPageBreak/>
        <w:t>对已完成数字化转换的所有数据，及档案实物材料由采购方进行统一验收。</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（1）对全部档案实物进行质量验收，要求鉴别认真、分类准确、编排有序、目录清楚、装订整齐，并符合</w:t>
      </w:r>
      <w:proofErr w:type="gramStart"/>
      <w:r>
        <w:rPr>
          <w:rFonts w:ascii="宋体" w:hAnsi="宋体" w:hint="eastAsia"/>
          <w:sz w:val="24"/>
        </w:rPr>
        <w:t>鄞</w:t>
      </w:r>
      <w:proofErr w:type="gramEnd"/>
      <w:r>
        <w:rPr>
          <w:rFonts w:ascii="宋体" w:hAnsi="宋体" w:hint="eastAsia"/>
          <w:sz w:val="24"/>
        </w:rPr>
        <w:t>州区委组织部的相关要求，参照《关于进一步开展干部人事档案审核工作的通知》</w:t>
      </w:r>
      <w:proofErr w:type="gramStart"/>
      <w:r>
        <w:rPr>
          <w:rFonts w:ascii="宋体" w:hAnsi="宋体" w:hint="eastAsia"/>
          <w:sz w:val="24"/>
        </w:rPr>
        <w:t>组厅字</w:t>
      </w:r>
      <w:proofErr w:type="gramEnd"/>
      <w:r>
        <w:rPr>
          <w:rFonts w:ascii="宋体" w:hAnsi="宋体" w:hint="eastAsia"/>
          <w:sz w:val="24"/>
        </w:rPr>
        <w:t>〔2006〕5号等文件验收，准确率达到100%，抽检合格率在99%以下，提交验收材料全部发回全面自检，直至达到验收要求。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2）对全部职工档案、干部人事档案专项审核进行质量验收，要求《干部人事档案专项审核情况登记表》填写准确，电子版录入内容准确，档案中存在的问题没有遗漏，并符合宁波市委组织部的相关要求，准确率达到100%，抽检合格率在99%以下，提交验收材料全部发回全面自检，直至达到验收要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（3）对全部数字档案成品进行质量验收，要求内容完整，扫描件与实物一致，高清件整洁美观，准确率达到100%，抽检合格率在99%以下，提交验收材料全部发回全面自检，直至达到验收要求。</w:t>
      </w:r>
    </w:p>
    <w:p w:rsidR="00902C62" w:rsidRDefault="00902C62" w:rsidP="00902C62">
      <w:pPr>
        <w:spacing w:line="360" w:lineRule="auto"/>
        <w:ind w:firstLineChars="200" w:firstLine="480"/>
        <w:rPr>
          <w:rFonts w:ascii="宋体" w:hAnsi="宋体"/>
          <w:szCs w:val="21"/>
        </w:rPr>
      </w:pPr>
      <w:r>
        <w:rPr>
          <w:rFonts w:ascii="宋体" w:hAnsi="宋体" w:hint="eastAsia"/>
          <w:sz w:val="24"/>
        </w:rPr>
        <w:t>（4）应根据验收标准填写相应的验收登记表，验收“通过”的结论，必须经项目负责人审查、签字，并提交采购方审核确认后方有效。</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（六）档案移交</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档案移交时由中标供应商到招标人处接收人事档案实物，招标人需提供人事档案花名册一式两份，由双方当事人当场核对清点人事档案花名册和人事档案实物，并在一式两份花名册上签字盖章确认移交。由中标供应商进行打包</w:t>
      </w:r>
      <w:proofErr w:type="gramStart"/>
      <w:r>
        <w:rPr>
          <w:rFonts w:ascii="宋体" w:hAnsi="宋体" w:hint="eastAsia"/>
          <w:sz w:val="24"/>
        </w:rPr>
        <w:t>后运输</w:t>
      </w:r>
      <w:proofErr w:type="gramEnd"/>
      <w:r>
        <w:rPr>
          <w:rFonts w:ascii="宋体" w:hAnsi="宋体" w:hint="eastAsia"/>
          <w:sz w:val="24"/>
        </w:rPr>
        <w:t>至工作场所。签字盖章的花名册双方各执一份。</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项目完成后由供应商打包后将人事档案运输至招标人指定地点，并提供之前签字盖章的花名册，由双方当事人当场核对清点人事档案花名册和人事档案实物，并在一式两份花名册上签字盖章确认移交。签字盖章的花名册双方各执一份。</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（七）质量要求</w:t>
      </w:r>
    </w:p>
    <w:p w:rsidR="00902C62" w:rsidRDefault="00902C62" w:rsidP="00902C62">
      <w:pPr>
        <w:spacing w:line="360" w:lineRule="auto"/>
        <w:ind w:firstLineChars="200" w:firstLine="480"/>
        <w:rPr>
          <w:rFonts w:ascii="宋体" w:hAnsi="宋体" w:hint="eastAsia"/>
          <w:sz w:val="24"/>
        </w:rPr>
      </w:pPr>
      <w:r>
        <w:rPr>
          <w:rFonts w:ascii="宋体" w:hAnsi="宋体" w:hint="eastAsia"/>
          <w:sz w:val="24"/>
        </w:rPr>
        <w:t>总体质量要求：档案整理要求鉴别认真、分类准确、编排有序、目录清楚、装订整齐，不破坏档案原件，边距孔距符合中组部档案整理要求。纸质档案扫描影像与档案原件一致，做到扫描页面清晰、整洁。</w:t>
      </w:r>
    </w:p>
    <w:p w:rsidR="00902C62" w:rsidRDefault="00902C62" w:rsidP="00902C62">
      <w:pPr>
        <w:rPr>
          <w:rFonts w:ascii="宋体" w:hAnsi="宋体" w:cs="宋体" w:hint="eastAsia"/>
          <w:b/>
          <w:sz w:val="36"/>
          <w:szCs w:val="36"/>
        </w:rPr>
      </w:pPr>
    </w:p>
    <w:p w:rsidR="00902C62" w:rsidRPr="00902C62" w:rsidRDefault="00902C62"/>
    <w:sectPr w:rsidR="00902C62" w:rsidRPr="00902C62" w:rsidSect="00645F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C62" w:rsidRDefault="00902C62" w:rsidP="00902C62">
      <w:r>
        <w:separator/>
      </w:r>
    </w:p>
  </w:endnote>
  <w:endnote w:type="continuationSeparator" w:id="0">
    <w:p w:rsidR="00902C62" w:rsidRDefault="00902C62" w:rsidP="00902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C62" w:rsidRDefault="00902C62" w:rsidP="00902C62">
      <w:r>
        <w:separator/>
      </w:r>
    </w:p>
  </w:footnote>
  <w:footnote w:type="continuationSeparator" w:id="0">
    <w:p w:rsidR="00902C62" w:rsidRDefault="00902C62" w:rsidP="00902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C62"/>
    <w:rsid w:val="00645FEF"/>
    <w:rsid w:val="00902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C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2C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2C62"/>
    <w:rPr>
      <w:sz w:val="18"/>
      <w:szCs w:val="18"/>
    </w:rPr>
  </w:style>
  <w:style w:type="paragraph" w:styleId="a4">
    <w:name w:val="footer"/>
    <w:basedOn w:val="a"/>
    <w:link w:val="Char0"/>
    <w:uiPriority w:val="99"/>
    <w:semiHidden/>
    <w:unhideWhenUsed/>
    <w:rsid w:val="00902C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2C6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2024-11-15T07:21:00Z</dcterms:created>
  <dcterms:modified xsi:type="dcterms:W3CDTF">2024-11-15T07:25:00Z</dcterms:modified>
</cp:coreProperties>
</file>