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2B731D" w:rsidRPr="002B731D">
        <w:rPr>
          <w:rFonts w:hint="eastAsia"/>
          <w:b/>
          <w:sz w:val="30"/>
          <w:szCs w:val="30"/>
        </w:rPr>
        <w:t>黄疸测量仪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-176" w:type="dxa"/>
        <w:tblLook w:val="04A0"/>
      </w:tblPr>
      <w:tblGrid>
        <w:gridCol w:w="626"/>
        <w:gridCol w:w="2266"/>
        <w:gridCol w:w="2070"/>
        <w:gridCol w:w="2409"/>
        <w:gridCol w:w="1277"/>
      </w:tblGrid>
      <w:tr w:rsidR="00AE443B" w:rsidRPr="00201A0C" w:rsidTr="005B076F">
        <w:trPr>
          <w:trHeight w:val="460"/>
        </w:trPr>
        <w:tc>
          <w:tcPr>
            <w:tcW w:w="626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6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070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409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277" w:type="dxa"/>
          </w:tcPr>
          <w:p w:rsidR="00AE443B" w:rsidRPr="00FF713D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010D18" w:rsidRPr="00201A0C" w:rsidTr="005B076F">
        <w:trPr>
          <w:trHeight w:val="241"/>
        </w:trPr>
        <w:tc>
          <w:tcPr>
            <w:tcW w:w="626" w:type="dxa"/>
            <w:vMerge w:val="restart"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6" w:type="dxa"/>
            <w:vMerge w:val="restart"/>
          </w:tcPr>
          <w:p w:rsidR="00010D18" w:rsidRPr="004B3EBF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2B731D">
              <w:rPr>
                <w:rFonts w:ascii="宋体" w:hAnsi="宋体" w:hint="eastAsia"/>
                <w:szCs w:val="21"/>
              </w:rPr>
              <w:t>黄疸测量仪</w:t>
            </w:r>
          </w:p>
        </w:tc>
        <w:tc>
          <w:tcPr>
            <w:tcW w:w="2070" w:type="dxa"/>
          </w:tcPr>
          <w:p w:rsidR="00010D18" w:rsidRDefault="00010D18" w:rsidP="008158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2409" w:type="dxa"/>
            <w:vMerge w:val="restart"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用于经皮黄疸测量</w:t>
            </w:r>
          </w:p>
        </w:tc>
        <w:tc>
          <w:tcPr>
            <w:tcW w:w="1277" w:type="dxa"/>
            <w:vMerge w:val="restart"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3万元</w:t>
            </w:r>
          </w:p>
        </w:tc>
      </w:tr>
      <w:tr w:rsidR="00010D18" w:rsidRPr="00201A0C" w:rsidTr="005B076F">
        <w:trPr>
          <w:trHeight w:val="131"/>
        </w:trPr>
        <w:tc>
          <w:tcPr>
            <w:tcW w:w="626" w:type="dxa"/>
            <w:vMerge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010D18" w:rsidRDefault="00010D18" w:rsidP="004662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五乡分院1台</w:t>
            </w:r>
          </w:p>
        </w:tc>
        <w:tc>
          <w:tcPr>
            <w:tcW w:w="2409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0D18" w:rsidRPr="00201A0C" w:rsidTr="005B076F">
        <w:trPr>
          <w:trHeight w:val="232"/>
        </w:trPr>
        <w:tc>
          <w:tcPr>
            <w:tcW w:w="626" w:type="dxa"/>
            <w:vMerge w:val="restart"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6" w:type="dxa"/>
            <w:vMerge w:val="restart"/>
          </w:tcPr>
          <w:p w:rsidR="00010D18" w:rsidRPr="002B731D" w:rsidRDefault="00010D18" w:rsidP="008158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2B731D">
              <w:rPr>
                <w:rFonts w:ascii="宋体" w:hAnsi="宋体" w:hint="eastAsia"/>
                <w:szCs w:val="21"/>
              </w:rPr>
              <w:t>加热式超声雾化仪</w:t>
            </w:r>
          </w:p>
          <w:p w:rsidR="00010D18" w:rsidRPr="00961853" w:rsidRDefault="00010D18" w:rsidP="008158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2B731D">
              <w:rPr>
                <w:rFonts w:ascii="宋体" w:hAnsi="宋体" w:hint="eastAsia"/>
                <w:szCs w:val="21"/>
              </w:rPr>
              <w:t>（干眼症雾化器）</w:t>
            </w:r>
          </w:p>
        </w:tc>
        <w:tc>
          <w:tcPr>
            <w:tcW w:w="2070" w:type="dxa"/>
          </w:tcPr>
          <w:p w:rsidR="00010D18" w:rsidRPr="00961853" w:rsidRDefault="00010D18" w:rsidP="004662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东柳分院2台</w:t>
            </w:r>
          </w:p>
        </w:tc>
        <w:tc>
          <w:tcPr>
            <w:tcW w:w="2409" w:type="dxa"/>
            <w:vMerge w:val="restart"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用于干眼症的辅助治疗</w:t>
            </w:r>
          </w:p>
        </w:tc>
        <w:tc>
          <w:tcPr>
            <w:tcW w:w="1277" w:type="dxa"/>
            <w:vMerge w:val="restart"/>
          </w:tcPr>
          <w:p w:rsidR="00010D18" w:rsidRPr="00961853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19.8万元</w:t>
            </w:r>
          </w:p>
        </w:tc>
      </w:tr>
      <w:tr w:rsidR="00010D18" w:rsidRPr="00201A0C" w:rsidTr="005B076F">
        <w:trPr>
          <w:trHeight w:val="132"/>
        </w:trPr>
        <w:tc>
          <w:tcPr>
            <w:tcW w:w="626" w:type="dxa"/>
            <w:vMerge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010D18" w:rsidRDefault="00010D18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东吴分院1台</w:t>
            </w:r>
          </w:p>
        </w:tc>
        <w:tc>
          <w:tcPr>
            <w:tcW w:w="2409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0D18" w:rsidRPr="00201A0C" w:rsidTr="005B076F">
        <w:trPr>
          <w:trHeight w:val="131"/>
        </w:trPr>
        <w:tc>
          <w:tcPr>
            <w:tcW w:w="626" w:type="dxa"/>
            <w:vMerge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010D18" w:rsidRDefault="00010D18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2409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0D18" w:rsidRPr="00201A0C" w:rsidTr="005B076F">
        <w:trPr>
          <w:trHeight w:val="232"/>
        </w:trPr>
        <w:tc>
          <w:tcPr>
            <w:tcW w:w="626" w:type="dxa"/>
            <w:vMerge w:val="restart"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6" w:type="dxa"/>
            <w:vMerge w:val="restart"/>
          </w:tcPr>
          <w:p w:rsidR="00010D18" w:rsidRPr="004C66B0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2B731D">
              <w:rPr>
                <w:rFonts w:ascii="宋体" w:hAnsi="宋体" w:hint="eastAsia"/>
                <w:szCs w:val="21"/>
              </w:rPr>
              <w:t>中药熏蒸治疗仪</w:t>
            </w:r>
          </w:p>
        </w:tc>
        <w:tc>
          <w:tcPr>
            <w:tcW w:w="2070" w:type="dxa"/>
          </w:tcPr>
          <w:p w:rsidR="00010D18" w:rsidRDefault="00010D18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福明分院1台</w:t>
            </w:r>
          </w:p>
        </w:tc>
        <w:tc>
          <w:tcPr>
            <w:tcW w:w="2409" w:type="dxa"/>
          </w:tcPr>
          <w:p w:rsidR="00010D18" w:rsidRDefault="008A12E1" w:rsidP="008A12E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双通道</w:t>
            </w:r>
            <w:r w:rsidRPr="008A12E1">
              <w:rPr>
                <w:rFonts w:ascii="宋体" w:hAnsi="宋体" w:hint="eastAsia"/>
                <w:szCs w:val="21"/>
              </w:rPr>
              <w:t>(可同时双人使用)</w:t>
            </w:r>
            <w:r>
              <w:rPr>
                <w:rFonts w:ascii="宋体" w:hAnsi="宋体" w:hint="eastAsia"/>
                <w:szCs w:val="21"/>
              </w:rPr>
              <w:t>，用于局部熏蒸</w:t>
            </w:r>
            <w:r w:rsidRPr="008A12E1">
              <w:rPr>
                <w:rFonts w:ascii="宋体" w:hAnsi="宋体" w:hint="eastAsia"/>
                <w:szCs w:val="21"/>
              </w:rPr>
              <w:t xml:space="preserve"> (眼、鼻)</w:t>
            </w:r>
            <w:r>
              <w:rPr>
                <w:rFonts w:ascii="宋体" w:hAnsi="宋体" w:hint="eastAsia"/>
                <w:szCs w:val="21"/>
              </w:rPr>
              <w:t>,可用</w:t>
            </w:r>
            <w:r w:rsidRPr="008A12E1">
              <w:rPr>
                <w:rFonts w:ascii="宋体" w:hAnsi="宋体" w:hint="eastAsia"/>
                <w:szCs w:val="21"/>
              </w:rPr>
              <w:t>药液</w:t>
            </w:r>
            <w:r>
              <w:rPr>
                <w:rFonts w:ascii="宋体" w:hAnsi="宋体" w:hint="eastAsia"/>
                <w:szCs w:val="21"/>
              </w:rPr>
              <w:t>熏蒸</w:t>
            </w:r>
          </w:p>
        </w:tc>
        <w:tc>
          <w:tcPr>
            <w:tcW w:w="1277" w:type="dxa"/>
            <w:vMerge w:val="restart"/>
          </w:tcPr>
          <w:p w:rsidR="00010D18" w:rsidRPr="00961853" w:rsidRDefault="00010D18" w:rsidP="005B076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5.6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010D18" w:rsidRPr="00201A0C" w:rsidTr="005B076F">
        <w:trPr>
          <w:trHeight w:val="231"/>
        </w:trPr>
        <w:tc>
          <w:tcPr>
            <w:tcW w:w="626" w:type="dxa"/>
            <w:vMerge/>
          </w:tcPr>
          <w:p w:rsidR="00010D18" w:rsidRDefault="00010D1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vMerge/>
          </w:tcPr>
          <w:p w:rsidR="00010D18" w:rsidRDefault="00010D18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070" w:type="dxa"/>
          </w:tcPr>
          <w:p w:rsidR="00010D18" w:rsidRDefault="00010D18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2409" w:type="dxa"/>
          </w:tcPr>
          <w:p w:rsidR="00010D18" w:rsidRDefault="008A12E1" w:rsidP="008A12E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双通道</w:t>
            </w:r>
            <w:r w:rsidRPr="008A12E1">
              <w:rPr>
                <w:rFonts w:ascii="宋体" w:hAnsi="宋体" w:hint="eastAsia"/>
                <w:szCs w:val="21"/>
              </w:rPr>
              <w:t>(可同时双人使用)</w:t>
            </w:r>
            <w:r>
              <w:rPr>
                <w:rFonts w:ascii="宋体" w:hAnsi="宋体" w:hint="eastAsia"/>
                <w:szCs w:val="21"/>
              </w:rPr>
              <w:t>，用于局部软组织熏蒸</w:t>
            </w:r>
          </w:p>
        </w:tc>
        <w:tc>
          <w:tcPr>
            <w:tcW w:w="1277" w:type="dxa"/>
            <w:vMerge/>
          </w:tcPr>
          <w:p w:rsidR="00010D18" w:rsidRDefault="00010D18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AE443B" w:rsidRPr="00201A0C" w:rsidTr="005B076F">
        <w:trPr>
          <w:trHeight w:val="231"/>
        </w:trPr>
        <w:tc>
          <w:tcPr>
            <w:tcW w:w="626" w:type="dxa"/>
          </w:tcPr>
          <w:p w:rsidR="00AE443B" w:rsidRDefault="00AE443B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6" w:type="dxa"/>
          </w:tcPr>
          <w:p w:rsidR="00AE443B" w:rsidRDefault="00AE443B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bookmarkStart w:id="0" w:name="OLE_LINK3"/>
            <w:bookmarkStart w:id="1" w:name="OLE_LINK4"/>
            <w:r w:rsidRPr="00AE443B">
              <w:rPr>
                <w:rFonts w:ascii="宋体" w:hAnsi="宋体" w:hint="eastAsia"/>
                <w:szCs w:val="21"/>
              </w:rPr>
              <w:t>远红外治疗仪</w:t>
            </w:r>
            <w:bookmarkEnd w:id="0"/>
            <w:bookmarkEnd w:id="1"/>
          </w:p>
        </w:tc>
        <w:tc>
          <w:tcPr>
            <w:tcW w:w="2070" w:type="dxa"/>
          </w:tcPr>
          <w:p w:rsidR="00AE443B" w:rsidRDefault="00AE443B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2409" w:type="dxa"/>
          </w:tcPr>
          <w:p w:rsidR="00AE443B" w:rsidRDefault="009F4585" w:rsidP="00A960E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宽谱远红外，</w:t>
            </w:r>
            <w:r w:rsidR="00010D18" w:rsidRPr="00010D18">
              <w:rPr>
                <w:rFonts w:ascii="宋体" w:hAnsi="宋体" w:hint="eastAsia"/>
                <w:szCs w:val="21"/>
              </w:rPr>
              <w:t>用于疼痛和炎症的治疗,加速创面愈合</w:t>
            </w:r>
            <w:r w:rsidR="00A960EA">
              <w:rPr>
                <w:rFonts w:ascii="宋体" w:hAnsi="宋体" w:hint="eastAsia"/>
                <w:szCs w:val="21"/>
              </w:rPr>
              <w:t>；</w:t>
            </w:r>
          </w:p>
          <w:p w:rsidR="00A960EA" w:rsidRDefault="009F4585" w:rsidP="00A960E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照射头高度角度可调</w:t>
            </w:r>
          </w:p>
        </w:tc>
        <w:tc>
          <w:tcPr>
            <w:tcW w:w="1277" w:type="dxa"/>
          </w:tcPr>
          <w:p w:rsidR="00AE443B" w:rsidRDefault="00AE443B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103B4" w:rsidRPr="00C84A3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62C7" w:rsidRPr="00C84A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AE443B" w:rsidRPr="00C84A3C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103B4" w:rsidRPr="00C84A3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662C7" w:rsidRPr="00C84A3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AE443B" w:rsidRPr="00C84A3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C84A3C">
        <w:rPr>
          <w:rFonts w:asciiTheme="minorEastAsia" w:hAnsiTheme="minorEastAsia" w:cs="宋体"/>
          <w:kern w:val="0"/>
          <w:sz w:val="24"/>
          <w:szCs w:val="24"/>
        </w:rPr>
        <w:t>日</w:t>
      </w:r>
      <w:r w:rsidR="006D38CD" w:rsidRPr="00C84A3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C84A3C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662C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AE443B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F47F62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29305" cy="1229305"/>
            <wp:effectExtent l="19050" t="0" r="8945" b="0"/>
            <wp:docPr id="1" name="图片 1" descr="D:\微信资料\WeChat Files\wxid_0tjmequj87jh52\FileStorage\Temp\e6c1b1a24eb1745262ce85616e51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6c1b1a24eb1745262ce85616e51d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98" cy="123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DF" w:rsidRPr="00C866C1" w:rsidRDefault="005B50DF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lastRenderedPageBreak/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32B5F"/>
    <w:rsid w:val="00141F17"/>
    <w:rsid w:val="0014691B"/>
    <w:rsid w:val="0015297E"/>
    <w:rsid w:val="0016352E"/>
    <w:rsid w:val="001752A1"/>
    <w:rsid w:val="001768E2"/>
    <w:rsid w:val="00180E7C"/>
    <w:rsid w:val="00183FE2"/>
    <w:rsid w:val="001875F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C5F01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B731D"/>
    <w:rsid w:val="002C5B06"/>
    <w:rsid w:val="002D0664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6AD3"/>
    <w:rsid w:val="0039065C"/>
    <w:rsid w:val="003943A8"/>
    <w:rsid w:val="003A4325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662C7"/>
    <w:rsid w:val="00481009"/>
    <w:rsid w:val="00484FA7"/>
    <w:rsid w:val="00494E9D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6258"/>
    <w:rsid w:val="00524EC7"/>
    <w:rsid w:val="0052719A"/>
    <w:rsid w:val="00540827"/>
    <w:rsid w:val="00557777"/>
    <w:rsid w:val="0057336B"/>
    <w:rsid w:val="00580F49"/>
    <w:rsid w:val="00593DAC"/>
    <w:rsid w:val="00594565"/>
    <w:rsid w:val="005A0942"/>
    <w:rsid w:val="005B076F"/>
    <w:rsid w:val="005B50DF"/>
    <w:rsid w:val="005C434B"/>
    <w:rsid w:val="005D7656"/>
    <w:rsid w:val="005E37B0"/>
    <w:rsid w:val="005E47BA"/>
    <w:rsid w:val="005F280E"/>
    <w:rsid w:val="005F566C"/>
    <w:rsid w:val="005F6185"/>
    <w:rsid w:val="00600CA5"/>
    <w:rsid w:val="006103B4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75D36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D38CD"/>
    <w:rsid w:val="006E2A7C"/>
    <w:rsid w:val="006E58B1"/>
    <w:rsid w:val="006E6C12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63A5"/>
    <w:rsid w:val="007D0200"/>
    <w:rsid w:val="007D4C82"/>
    <w:rsid w:val="007D5754"/>
    <w:rsid w:val="007E2BF4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B63FE"/>
    <w:rsid w:val="008C3B0C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85"/>
    <w:rsid w:val="009F459D"/>
    <w:rsid w:val="00A20482"/>
    <w:rsid w:val="00A27DC0"/>
    <w:rsid w:val="00A312B7"/>
    <w:rsid w:val="00A403CA"/>
    <w:rsid w:val="00A475CC"/>
    <w:rsid w:val="00A53D4A"/>
    <w:rsid w:val="00A7450C"/>
    <w:rsid w:val="00A90038"/>
    <w:rsid w:val="00A92C48"/>
    <w:rsid w:val="00A95C41"/>
    <w:rsid w:val="00A960EA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770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171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7301"/>
    <w:rsid w:val="00EB7C1F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86C9D"/>
    <w:rsid w:val="00F93D35"/>
    <w:rsid w:val="00FA00D1"/>
    <w:rsid w:val="00FA085B"/>
    <w:rsid w:val="00FB20A7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</cp:revision>
  <dcterms:created xsi:type="dcterms:W3CDTF">2025-03-20T05:24:00Z</dcterms:created>
  <dcterms:modified xsi:type="dcterms:W3CDTF">2025-03-20T08:41:00Z</dcterms:modified>
</cp:coreProperties>
</file>