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74295F">
        <w:rPr>
          <w:rFonts w:hint="eastAsia"/>
          <w:b/>
          <w:sz w:val="30"/>
          <w:szCs w:val="30"/>
        </w:rPr>
        <w:t>个人</w:t>
      </w:r>
      <w:r w:rsidR="00383C9B">
        <w:rPr>
          <w:rFonts w:hint="eastAsia"/>
          <w:b/>
          <w:sz w:val="30"/>
          <w:szCs w:val="30"/>
        </w:rPr>
        <w:t>放射</w:t>
      </w:r>
      <w:r w:rsidR="0074295F">
        <w:rPr>
          <w:rFonts w:hint="eastAsia"/>
          <w:b/>
          <w:sz w:val="30"/>
          <w:szCs w:val="30"/>
        </w:rPr>
        <w:t>剂量检测项目</w:t>
      </w:r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74295F" w:rsidP="00383C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个人</w:t>
            </w:r>
            <w:r w:rsidR="00383C9B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放射</w:t>
            </w: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剂量检测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74295F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BA26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BE73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F70097" w:rsidRPr="00AA0103" w:rsidRDefault="00206103" w:rsidP="00206103">
      <w:pPr>
        <w:pStyle w:val="a5"/>
        <w:numPr>
          <w:ilvl w:val="0"/>
          <w:numId w:val="1"/>
        </w:numPr>
        <w:spacing w:line="440" w:lineRule="exact"/>
        <w:ind w:firstLineChars="0"/>
      </w:pPr>
      <w:r w:rsidRPr="00AA0103">
        <w:rPr>
          <w:rFonts w:hint="eastAsia"/>
        </w:rPr>
        <w:t>项目</w:t>
      </w:r>
      <w:r w:rsidR="00F70097" w:rsidRPr="00AA0103">
        <w:rPr>
          <w:rFonts w:hint="eastAsia"/>
        </w:rPr>
        <w:t>要求：</w:t>
      </w:r>
    </w:p>
    <w:p w:rsidR="00206103" w:rsidRPr="00206103" w:rsidRDefault="00206103" w:rsidP="00AA0103">
      <w:pPr>
        <w:spacing w:line="440" w:lineRule="exact"/>
        <w:ind w:firstLineChars="100" w:firstLine="210"/>
        <w:rPr>
          <w:highlight w:val="yellow"/>
        </w:rPr>
      </w:pPr>
      <w:r w:rsidRPr="00AA0103">
        <w:rPr>
          <w:rFonts w:ascii="宋体" w:hAnsi="宋体" w:hint="eastAsia"/>
          <w:szCs w:val="21"/>
        </w:rPr>
        <w:t>1、</w:t>
      </w:r>
      <w:r w:rsidRPr="00AA0103">
        <w:rPr>
          <w:rFonts w:hint="eastAsia"/>
        </w:rPr>
        <w:t>202</w:t>
      </w:r>
      <w:r w:rsidR="004F06C2">
        <w:rPr>
          <w:rFonts w:hint="eastAsia"/>
        </w:rPr>
        <w:t>5</w:t>
      </w:r>
      <w:r w:rsidRPr="00AA0103">
        <w:rPr>
          <w:rFonts w:hint="eastAsia"/>
        </w:rPr>
        <w:t>年全院放射工作人员</w:t>
      </w:r>
      <w:r w:rsidRPr="007F6261">
        <w:rPr>
          <w:rFonts w:hint="eastAsia"/>
        </w:rPr>
        <w:t>1</w:t>
      </w:r>
      <w:r w:rsidR="007F6261">
        <w:rPr>
          <w:rFonts w:hint="eastAsia"/>
        </w:rPr>
        <w:t>92</w:t>
      </w:r>
      <w:r w:rsidRPr="00AA0103">
        <w:rPr>
          <w:rFonts w:hint="eastAsia"/>
        </w:rPr>
        <w:t>名，</w:t>
      </w:r>
      <w:r w:rsidR="001D0749" w:rsidRPr="00AA0103">
        <w:rPr>
          <w:rFonts w:hint="eastAsia"/>
        </w:rPr>
        <w:t>供应商要提供相应数量的剂量仪</w:t>
      </w:r>
      <w:r w:rsidR="00FF413B">
        <w:rPr>
          <w:rFonts w:hint="eastAsia"/>
        </w:rPr>
        <w:t>，另外再提供</w:t>
      </w:r>
      <w:r w:rsidR="00FF413B">
        <w:rPr>
          <w:rFonts w:hint="eastAsia"/>
        </w:rPr>
        <w:t>5</w:t>
      </w:r>
      <w:r w:rsidR="00FF413B">
        <w:rPr>
          <w:rFonts w:hint="eastAsia"/>
        </w:rPr>
        <w:t>个备用</w:t>
      </w:r>
      <w:r w:rsidR="00FF413B" w:rsidRPr="00AA0103">
        <w:rPr>
          <w:rFonts w:hint="eastAsia"/>
        </w:rPr>
        <w:t>剂量仪</w:t>
      </w:r>
      <w:r w:rsidR="001D0749" w:rsidRPr="00AA0103">
        <w:rPr>
          <w:rFonts w:hint="eastAsia"/>
        </w:rPr>
        <w:t>；</w:t>
      </w:r>
    </w:p>
    <w:p w:rsidR="001D0749" w:rsidRDefault="00206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7F76EB">
        <w:rPr>
          <w:rFonts w:ascii="宋体" w:hAnsi="宋体" w:hint="eastAsia"/>
          <w:szCs w:val="21"/>
        </w:rPr>
        <w:t>供应商</w:t>
      </w:r>
      <w:r w:rsidR="00AF3496" w:rsidRPr="00AF3496">
        <w:rPr>
          <w:rFonts w:ascii="宋体" w:hAnsi="宋体" w:hint="eastAsia"/>
          <w:szCs w:val="21"/>
        </w:rPr>
        <w:t>应具备相应资质的职业卫生技术服务机构（必须取得省级以上人民政府卫生行政部门资质认证）；</w:t>
      </w:r>
    </w:p>
    <w:p w:rsidR="001D0749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AF3496" w:rsidRPr="00AF3496">
        <w:rPr>
          <w:rFonts w:ascii="宋体" w:hAnsi="宋体" w:hint="eastAsia"/>
          <w:szCs w:val="21"/>
        </w:rPr>
        <w:t>监测周期</w:t>
      </w:r>
      <w:r w:rsidR="007F76EB">
        <w:rPr>
          <w:rFonts w:ascii="宋体" w:hAnsi="宋体" w:hint="eastAsia"/>
          <w:szCs w:val="21"/>
        </w:rPr>
        <w:t>按照</w:t>
      </w:r>
      <w:r w:rsidR="00AF3496" w:rsidRPr="00AF3496">
        <w:rPr>
          <w:rFonts w:ascii="宋体" w:hAnsi="宋体" w:hint="eastAsia"/>
          <w:szCs w:val="21"/>
        </w:rPr>
        <w:t>我国最新放射卫生法规标准和当地卫生行政部门的要求执行；</w:t>
      </w:r>
    </w:p>
    <w:p w:rsidR="00F70097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AF3496" w:rsidRPr="00AF3496">
        <w:rPr>
          <w:rFonts w:ascii="宋体" w:hAnsi="宋体" w:hint="eastAsia"/>
          <w:szCs w:val="21"/>
        </w:rPr>
        <w:t>检测报告</w:t>
      </w:r>
      <w:r>
        <w:rPr>
          <w:rFonts w:ascii="宋体" w:hAnsi="宋体" w:hint="eastAsia"/>
          <w:szCs w:val="21"/>
        </w:rPr>
        <w:t>要符合我国最新放射卫生法规标准和当地卫生行政部门的要求，</w:t>
      </w:r>
      <w:r w:rsidR="00AF3496" w:rsidRPr="00AF3496">
        <w:rPr>
          <w:rFonts w:ascii="宋体" w:hAnsi="宋体" w:hint="eastAsia"/>
          <w:szCs w:val="21"/>
        </w:rPr>
        <w:t>每次检</w:t>
      </w:r>
      <w:r>
        <w:rPr>
          <w:rFonts w:ascii="宋体" w:hAnsi="宋体" w:hint="eastAsia"/>
          <w:szCs w:val="21"/>
        </w:rPr>
        <w:t>测报告在各个监测周期完成后及时反馈，建立并保存个人剂量监测档案；</w:t>
      </w:r>
    </w:p>
    <w:p w:rsidR="007F76EB" w:rsidRPr="00AF3496" w:rsidRDefault="00AA0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7F76EB">
        <w:rPr>
          <w:rFonts w:ascii="宋体" w:hAnsi="宋体" w:hint="eastAsia"/>
          <w:szCs w:val="21"/>
        </w:rPr>
        <w:t>、</w:t>
      </w:r>
      <w:r w:rsidR="001D0749">
        <w:rPr>
          <w:rFonts w:ascii="宋体" w:hAnsi="宋体" w:hint="eastAsia"/>
          <w:szCs w:val="21"/>
        </w:rPr>
        <w:t>服务期内</w:t>
      </w:r>
      <w:r w:rsidRPr="00AA0103">
        <w:rPr>
          <w:rFonts w:hint="eastAsia"/>
        </w:rPr>
        <w:t>放射</w:t>
      </w:r>
      <w:r w:rsidR="001D0749">
        <w:rPr>
          <w:rFonts w:ascii="宋体" w:hAnsi="宋体" w:hint="eastAsia"/>
          <w:szCs w:val="21"/>
        </w:rPr>
        <w:t>人员会有少量增加，但费用不再增加。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、营业执照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</w:t>
      </w:r>
      <w:r w:rsidR="001F6480">
        <w:rPr>
          <w:rFonts w:ascii="宋体" w:eastAsia="宋体" w:hAnsi="宋体" w:cs="宋体" w:hint="eastAsia"/>
          <w:szCs w:val="21"/>
        </w:rPr>
        <w:t>服务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4、提供投标一览表及报价</w:t>
      </w:r>
      <w:r w:rsidR="001F6480">
        <w:rPr>
          <w:rFonts w:ascii="宋体" w:hAnsi="宋体" w:hint="eastAsia"/>
          <w:szCs w:val="21"/>
        </w:rPr>
        <w:t>单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</w:t>
      </w:r>
      <w:r w:rsidR="001F6480">
        <w:rPr>
          <w:rFonts w:ascii="宋体" w:hAnsi="宋体" w:hint="eastAsia"/>
          <w:szCs w:val="21"/>
        </w:rPr>
        <w:t>同</w:t>
      </w:r>
      <w:r w:rsidRPr="00CC7BB2">
        <w:rPr>
          <w:rFonts w:ascii="宋体" w:hAnsi="宋体" w:hint="eastAsia"/>
          <w:szCs w:val="21"/>
        </w:rPr>
        <w:t>类业绩，提供合同复印件；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</w:t>
      </w:r>
      <w:r w:rsidR="004F06C2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</w:t>
      </w:r>
      <w:r w:rsidR="007F6261">
        <w:rPr>
          <w:rFonts w:ascii="宋体" w:hAnsi="宋体" w:hint="eastAsia"/>
          <w:szCs w:val="21"/>
        </w:rPr>
        <w:t>或者</w:t>
      </w:r>
      <w:proofErr w:type="gramStart"/>
      <w:r w:rsidR="007F6261">
        <w:rPr>
          <w:rFonts w:ascii="宋体" w:hAnsi="宋体" w:hint="eastAsia"/>
          <w:szCs w:val="21"/>
        </w:rPr>
        <w:t>扫二维码</w:t>
      </w:r>
      <w:proofErr w:type="gramEnd"/>
      <w:r w:rsidR="007F6261">
        <w:rPr>
          <w:rFonts w:ascii="宋体" w:hAnsi="宋体" w:hint="eastAsia"/>
          <w:szCs w:val="21"/>
        </w:rPr>
        <w:t>报名，</w:t>
      </w:r>
      <w:r w:rsidRPr="00CC7BB2">
        <w:rPr>
          <w:rFonts w:ascii="宋体" w:hAnsi="宋体" w:hint="eastAsia"/>
          <w:szCs w:val="21"/>
        </w:rPr>
        <w:t>联系人：肖老师</w:t>
      </w:r>
      <w:r w:rsidR="007F6261">
        <w:rPr>
          <w:rFonts w:ascii="宋体" w:hAnsi="宋体" w:hint="eastAsia"/>
          <w:szCs w:val="21"/>
        </w:rPr>
        <w:t>、蔡老师</w:t>
      </w:r>
      <w:r w:rsidRPr="00CC7BB2">
        <w:rPr>
          <w:rFonts w:ascii="宋体" w:hAnsi="宋体" w:hint="eastAsia"/>
          <w:szCs w:val="21"/>
        </w:rPr>
        <w:t>，联系电话：0574-87016979。报名截止时间202</w:t>
      </w:r>
      <w:r w:rsidR="004F06C2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4F06C2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日1</w:t>
      </w:r>
      <w:r w:rsidR="001F6480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7F6261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4F06C2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点</w:t>
      </w:r>
      <w:r w:rsidR="00BE73E0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 w:rsidR="004F06C2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4F06C2">
        <w:rPr>
          <w:rFonts w:ascii="宋体" w:hAnsi="宋体" w:hint="eastAsia"/>
          <w:szCs w:val="21"/>
        </w:rPr>
        <w:t>218</w:t>
      </w:r>
      <w:r w:rsidRPr="00CC7BB2">
        <w:rPr>
          <w:rFonts w:ascii="宋体" w:hAnsi="宋体" w:hint="eastAsia"/>
          <w:szCs w:val="21"/>
        </w:rPr>
        <w:t>会议室。</w:t>
      </w:r>
      <w:bookmarkStart w:id="0" w:name="_GoBack"/>
      <w:bookmarkEnd w:id="0"/>
    </w:p>
    <w:p w:rsidR="00F70097" w:rsidRPr="00CC7BB2" w:rsidRDefault="004F06C2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F70097"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lastRenderedPageBreak/>
        <w:t>交货方式：按院方实际需要。</w:t>
      </w:r>
    </w:p>
    <w:p w:rsidR="00F70097" w:rsidRPr="007A2926" w:rsidRDefault="00F70097" w:rsidP="004F06C2">
      <w:pPr>
        <w:widowControl/>
        <w:spacing w:line="360" w:lineRule="auto"/>
        <w:ind w:firstLineChars="150" w:firstLine="31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BD0052" w:rsidRPr="00BD0052" w:rsidRDefault="00F70097" w:rsidP="00BD0052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BD0052" w:rsidRPr="00BD0052">
        <w:rPr>
          <w:rFonts w:ascii="宋体" w:eastAsia="宋体" w:hAnsi="宋体" w:cs="宋体" w:hint="eastAsia"/>
          <w:kern w:val="0"/>
          <w:szCs w:val="21"/>
        </w:rPr>
        <w:t>合同期满一个月内</w:t>
      </w:r>
      <w:r w:rsidR="007F6261">
        <w:rPr>
          <w:rFonts w:ascii="宋体" w:eastAsia="宋体" w:hAnsi="宋体" w:cs="宋体" w:hint="eastAsia"/>
          <w:kern w:val="0"/>
          <w:szCs w:val="21"/>
        </w:rPr>
        <w:t>一次性</w:t>
      </w:r>
      <w:r w:rsidR="00BD0052" w:rsidRPr="00BD0052">
        <w:rPr>
          <w:rFonts w:ascii="宋体" w:eastAsia="宋体" w:hAnsi="宋体" w:cs="宋体" w:hint="eastAsia"/>
          <w:kern w:val="0"/>
          <w:szCs w:val="21"/>
        </w:rPr>
        <w:t>付清</w:t>
      </w:r>
      <w:r w:rsidR="00BD0052" w:rsidRPr="00BD0052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4F06C2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1</w:t>
      </w:r>
      <w:r w:rsidR="004F06C2">
        <w:rPr>
          <w:rFonts w:asciiTheme="minorEastAsia" w:hAnsiTheme="minorEastAsia" w:cs="宋体" w:hint="eastAsia"/>
          <w:kern w:val="0"/>
          <w:szCs w:val="21"/>
        </w:rPr>
        <w:t>0</w:t>
      </w:r>
    </w:p>
    <w:p w:rsidR="00290840" w:rsidRDefault="00290840" w:rsidP="00F70097">
      <w:pPr>
        <w:widowControl/>
        <w:jc w:val="right"/>
        <w:rPr>
          <w:rFonts w:asciiTheme="minorEastAsia" w:hAnsiTheme="minorEastAsia" w:cs="宋体" w:hint="eastAsia"/>
          <w:kern w:val="0"/>
          <w:szCs w:val="21"/>
        </w:rPr>
      </w:pPr>
    </w:p>
    <w:p w:rsidR="00290840" w:rsidRDefault="00290840" w:rsidP="00290840">
      <w:pPr>
        <w:widowControl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162769" cy="1162769"/>
            <wp:effectExtent l="19050" t="0" r="0" b="0"/>
            <wp:docPr id="1" name="图片 1" descr="D:\微信资料\WeChat Files\wxid_0tjmequj87jh52\FileStorage\Temp\145d1866ea11c56a9ecaae79f015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45d1866ea11c56a9ecaae79f0152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7" cy="116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40" w:rsidRDefault="00290840" w:rsidP="00290840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74295F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0分</w:t>
            </w:r>
          </w:p>
        </w:tc>
      </w:tr>
      <w:tr w:rsidR="003D2BE6" w:rsidTr="0074295F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</w:t>
            </w:r>
            <w:r w:rsidR="005B16A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针对本项目的管理制度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进行评议，满分10分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4F06C2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同类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项目业绩进行评定，</w:t>
            </w:r>
            <w:r w:rsidR="005B16A3">
              <w:rPr>
                <w:rFonts w:ascii="宋体" w:eastAsia="宋体" w:hAnsi="宋体" w:cs="宋体" w:hint="eastAsia"/>
                <w:color w:val="000000"/>
                <w:szCs w:val="21"/>
              </w:rPr>
              <w:t>一个合同得1分，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满分3分。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</w:t>
            </w:r>
            <w:r w:rsidR="00200220">
              <w:rPr>
                <w:rFonts w:ascii="宋体" w:eastAsia="宋体" w:hAnsi="宋体" w:cs="宋体" w:hint="eastAsia"/>
                <w:color w:val="000000"/>
                <w:szCs w:val="21"/>
              </w:rPr>
              <w:t>和优惠承诺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进行评议，满分2分。</w:t>
            </w:r>
          </w:p>
        </w:tc>
      </w:tr>
      <w:tr w:rsidR="003D2BE6" w:rsidTr="0074295F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价格分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B38F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5F" w:rsidRDefault="0074295F" w:rsidP="000F7659">
      <w:r>
        <w:separator/>
      </w:r>
    </w:p>
  </w:endnote>
  <w:endnote w:type="continuationSeparator" w:id="0">
    <w:p w:rsidR="0074295F" w:rsidRDefault="0074295F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5F" w:rsidRDefault="0074295F" w:rsidP="000F7659">
      <w:r>
        <w:separator/>
      </w:r>
    </w:p>
  </w:footnote>
  <w:footnote w:type="continuationSeparator" w:id="0">
    <w:p w:rsidR="0074295F" w:rsidRDefault="0074295F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A568E"/>
    <w:rsid w:val="000D0074"/>
    <w:rsid w:val="000F7659"/>
    <w:rsid w:val="001601D9"/>
    <w:rsid w:val="001D0749"/>
    <w:rsid w:val="001F6480"/>
    <w:rsid w:val="00200220"/>
    <w:rsid w:val="00206103"/>
    <w:rsid w:val="00290840"/>
    <w:rsid w:val="002B6585"/>
    <w:rsid w:val="00314CDA"/>
    <w:rsid w:val="00383C9B"/>
    <w:rsid w:val="00383FB6"/>
    <w:rsid w:val="003D2BE6"/>
    <w:rsid w:val="004C378E"/>
    <w:rsid w:val="004C6A42"/>
    <w:rsid w:val="004F06C2"/>
    <w:rsid w:val="00541034"/>
    <w:rsid w:val="00552610"/>
    <w:rsid w:val="00573899"/>
    <w:rsid w:val="005B16A3"/>
    <w:rsid w:val="00641F1C"/>
    <w:rsid w:val="0068199C"/>
    <w:rsid w:val="006E5751"/>
    <w:rsid w:val="006F7DD0"/>
    <w:rsid w:val="0074295F"/>
    <w:rsid w:val="007B38F1"/>
    <w:rsid w:val="007F6261"/>
    <w:rsid w:val="007F76EB"/>
    <w:rsid w:val="008E1630"/>
    <w:rsid w:val="009D1CB5"/>
    <w:rsid w:val="009F7AA6"/>
    <w:rsid w:val="00AA0103"/>
    <w:rsid w:val="00AF3496"/>
    <w:rsid w:val="00BA26E5"/>
    <w:rsid w:val="00BD0052"/>
    <w:rsid w:val="00BE73E0"/>
    <w:rsid w:val="00C03858"/>
    <w:rsid w:val="00C11C41"/>
    <w:rsid w:val="00C2106D"/>
    <w:rsid w:val="00C524BB"/>
    <w:rsid w:val="00D2230A"/>
    <w:rsid w:val="00E75CEB"/>
    <w:rsid w:val="00F126E4"/>
    <w:rsid w:val="00F70097"/>
    <w:rsid w:val="00FD624E"/>
    <w:rsid w:val="00FF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908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90840"/>
  </w:style>
  <w:style w:type="paragraph" w:styleId="a7">
    <w:name w:val="Balloon Text"/>
    <w:basedOn w:val="a"/>
    <w:link w:val="Char2"/>
    <w:uiPriority w:val="99"/>
    <w:semiHidden/>
    <w:unhideWhenUsed/>
    <w:rsid w:val="0029084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908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24</cp:revision>
  <dcterms:created xsi:type="dcterms:W3CDTF">2021-03-22T07:24:00Z</dcterms:created>
  <dcterms:modified xsi:type="dcterms:W3CDTF">2025-02-10T08:10:00Z</dcterms:modified>
</cp:coreProperties>
</file>