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63" w:rsidRPr="00692A10" w:rsidRDefault="00182563" w:rsidP="00182563">
      <w:pPr>
        <w:jc w:val="center"/>
        <w:rPr>
          <w:rFonts w:ascii="宋体" w:hAnsi="宋体" w:cs="宋体"/>
          <w:b/>
          <w:sz w:val="32"/>
          <w:szCs w:val="32"/>
        </w:rPr>
      </w:pPr>
      <w:r w:rsidRPr="00692A10">
        <w:rPr>
          <w:rFonts w:ascii="宋体" w:hAnsi="宋体" w:cs="宋体" w:hint="eastAsia"/>
          <w:b/>
          <w:sz w:val="32"/>
          <w:szCs w:val="32"/>
        </w:rPr>
        <w:t>宁波大学附属人民医院</w:t>
      </w:r>
      <w:r>
        <w:rPr>
          <w:rFonts w:ascii="宋体" w:hAnsi="宋体" w:cs="宋体" w:hint="eastAsia"/>
          <w:b/>
          <w:sz w:val="32"/>
          <w:szCs w:val="32"/>
        </w:rPr>
        <w:t>2号楼11号电梯</w:t>
      </w:r>
      <w:r w:rsidRPr="00692A10">
        <w:rPr>
          <w:rFonts w:ascii="宋体" w:hAnsi="宋体" w:cs="宋体" w:hint="eastAsia"/>
          <w:b/>
          <w:sz w:val="32"/>
          <w:szCs w:val="32"/>
        </w:rPr>
        <w:t>采购及安装项目</w:t>
      </w:r>
      <w:r w:rsidR="000317BE">
        <w:rPr>
          <w:rFonts w:ascii="宋体" w:hAnsi="宋体" w:cs="宋体" w:hint="eastAsia"/>
          <w:b/>
          <w:sz w:val="32"/>
          <w:szCs w:val="32"/>
        </w:rPr>
        <w:t>单一采购公</w:t>
      </w:r>
      <w:r w:rsidR="00A9679F">
        <w:rPr>
          <w:rFonts w:ascii="宋体" w:hAnsi="宋体" w:cs="宋体" w:hint="eastAsia"/>
          <w:b/>
          <w:sz w:val="32"/>
          <w:szCs w:val="32"/>
        </w:rPr>
        <w:t>示</w:t>
      </w:r>
    </w:p>
    <w:p w:rsidR="00182563" w:rsidRPr="00805045" w:rsidRDefault="00182563" w:rsidP="001825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805045">
        <w:rPr>
          <w:rFonts w:hint="eastAsia"/>
          <w:sz w:val="28"/>
          <w:szCs w:val="28"/>
        </w:rPr>
        <w:t>采购品目：</w:t>
      </w:r>
    </w:p>
    <w:tbl>
      <w:tblPr>
        <w:tblW w:w="90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0"/>
        <w:gridCol w:w="2060"/>
        <w:gridCol w:w="867"/>
        <w:gridCol w:w="1967"/>
        <w:gridCol w:w="3316"/>
      </w:tblGrid>
      <w:tr w:rsidR="00182563" w:rsidTr="00D86B4C">
        <w:trPr>
          <w:trHeight w:val="227"/>
          <w:jc w:val="center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182563" w:rsidRDefault="00182563" w:rsidP="00D86B4C">
            <w:pPr>
              <w:spacing w:line="4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2060" w:type="dxa"/>
            <w:tcBorders>
              <w:top w:val="double" w:sz="4" w:space="0" w:color="auto"/>
            </w:tcBorders>
            <w:vAlign w:val="center"/>
          </w:tcPr>
          <w:p w:rsidR="00182563" w:rsidRDefault="00182563" w:rsidP="00D86B4C">
            <w:pPr>
              <w:spacing w:line="4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867" w:type="dxa"/>
            <w:tcBorders>
              <w:top w:val="double" w:sz="4" w:space="0" w:color="auto"/>
            </w:tcBorders>
            <w:vAlign w:val="center"/>
          </w:tcPr>
          <w:p w:rsidR="00182563" w:rsidRDefault="00182563" w:rsidP="00D86B4C">
            <w:pPr>
              <w:spacing w:line="4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数量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:rsidR="00182563" w:rsidRDefault="00182563" w:rsidP="00D86B4C">
            <w:pPr>
              <w:spacing w:line="4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最高限额</w:t>
            </w:r>
          </w:p>
          <w:p w:rsidR="00182563" w:rsidRDefault="00182563" w:rsidP="00D86B4C">
            <w:pPr>
              <w:spacing w:line="4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（万元人民币）</w:t>
            </w:r>
          </w:p>
        </w:tc>
        <w:tc>
          <w:tcPr>
            <w:tcW w:w="3316" w:type="dxa"/>
            <w:tcBorders>
              <w:top w:val="double" w:sz="4" w:space="0" w:color="auto"/>
            </w:tcBorders>
            <w:vAlign w:val="center"/>
          </w:tcPr>
          <w:p w:rsidR="00182563" w:rsidRDefault="00182563" w:rsidP="00D86B4C">
            <w:pPr>
              <w:spacing w:line="4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简要技术要求</w:t>
            </w:r>
          </w:p>
        </w:tc>
      </w:tr>
      <w:tr w:rsidR="00182563" w:rsidTr="00D86B4C">
        <w:trPr>
          <w:trHeight w:val="227"/>
          <w:jc w:val="center"/>
        </w:trPr>
        <w:tc>
          <w:tcPr>
            <w:tcW w:w="850" w:type="dxa"/>
            <w:vAlign w:val="center"/>
          </w:tcPr>
          <w:p w:rsidR="00182563" w:rsidRDefault="00182563" w:rsidP="00D86B4C"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060" w:type="dxa"/>
            <w:vAlign w:val="center"/>
          </w:tcPr>
          <w:p w:rsidR="00182563" w:rsidRPr="00C67B8A" w:rsidRDefault="00182563" w:rsidP="00D86B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307B8">
              <w:rPr>
                <w:rFonts w:ascii="宋体" w:hAnsi="宋体" w:hint="eastAsia"/>
                <w:sz w:val="24"/>
                <w:szCs w:val="32"/>
              </w:rPr>
              <w:t>2号楼11号电梯采购及安装</w:t>
            </w:r>
          </w:p>
        </w:tc>
        <w:tc>
          <w:tcPr>
            <w:tcW w:w="867" w:type="dxa"/>
            <w:vAlign w:val="center"/>
          </w:tcPr>
          <w:p w:rsidR="00182563" w:rsidRPr="00C67B8A" w:rsidRDefault="00182563" w:rsidP="00D86B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67B8A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967" w:type="dxa"/>
            <w:vAlign w:val="center"/>
          </w:tcPr>
          <w:p w:rsidR="00182563" w:rsidRDefault="00182563" w:rsidP="00D86B4C"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18.6</w:t>
            </w:r>
          </w:p>
        </w:tc>
        <w:tc>
          <w:tcPr>
            <w:tcW w:w="3316" w:type="dxa"/>
            <w:vAlign w:val="center"/>
          </w:tcPr>
          <w:p w:rsidR="00182563" w:rsidRDefault="00182563" w:rsidP="00D86B4C"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 w:rsidRPr="00205533">
              <w:rPr>
                <w:rFonts w:ascii="宋体" w:hAnsi="宋体" w:cs="宋体" w:hint="eastAsia"/>
                <w:szCs w:val="21"/>
              </w:rPr>
              <w:t>详见“四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205533">
              <w:rPr>
                <w:rFonts w:ascii="宋体" w:hAnsi="宋体" w:cs="宋体" w:hint="eastAsia"/>
                <w:szCs w:val="21"/>
              </w:rPr>
              <w:t>基本参数及技术要求”</w:t>
            </w:r>
          </w:p>
        </w:tc>
      </w:tr>
    </w:tbl>
    <w:p w:rsidR="00182563" w:rsidRDefault="00182563" w:rsidP="00182563">
      <w:pPr>
        <w:rPr>
          <w:sz w:val="28"/>
          <w:szCs w:val="28"/>
        </w:rPr>
      </w:pPr>
    </w:p>
    <w:p w:rsidR="00182563" w:rsidRPr="00D74DBD" w:rsidRDefault="00182563" w:rsidP="00182563">
      <w:pPr>
        <w:rPr>
          <w:sz w:val="28"/>
          <w:szCs w:val="28"/>
        </w:rPr>
      </w:pPr>
      <w:r w:rsidRPr="008612C9">
        <w:rPr>
          <w:rFonts w:hint="eastAsia"/>
          <w:sz w:val="28"/>
          <w:szCs w:val="28"/>
        </w:rPr>
        <w:t>二、</w:t>
      </w:r>
      <w:r w:rsidRPr="00D74DBD">
        <w:rPr>
          <w:rFonts w:hint="eastAsia"/>
          <w:sz w:val="28"/>
          <w:szCs w:val="28"/>
        </w:rPr>
        <w:t>拟采用的采购方式：单一来源</w:t>
      </w:r>
    </w:p>
    <w:p w:rsidR="00182563" w:rsidRPr="000317BE" w:rsidRDefault="00EB7CF5" w:rsidP="00611E92">
      <w:pPr>
        <w:spacing w:line="440" w:lineRule="exact"/>
        <w:rPr>
          <w:rFonts w:ascii="宋体" w:hAnsi="宋体" w:cs="宋体"/>
          <w:sz w:val="24"/>
        </w:rPr>
      </w:pPr>
      <w:r w:rsidRPr="00EB7CF5">
        <w:rPr>
          <w:rFonts w:ascii="宋体" w:hAnsi="宋体" w:cs="宋体" w:hint="eastAsia"/>
          <w:sz w:val="24"/>
        </w:rPr>
        <w:t>根据《中华人民共和国政府采购法》、《中华人民共和国政府采购法实施条例》、《政府采购非招标采购方式管理办法》等法律、法规和规章规定，宁波大学附属人民医院就电梯采购</w:t>
      </w:r>
      <w:r>
        <w:rPr>
          <w:rFonts w:ascii="宋体" w:hAnsi="宋体" w:cs="宋体" w:hint="eastAsia"/>
          <w:sz w:val="24"/>
        </w:rPr>
        <w:t>及安装</w:t>
      </w:r>
      <w:r w:rsidRPr="00EB7CF5">
        <w:rPr>
          <w:rFonts w:ascii="宋体" w:hAnsi="宋体" w:cs="宋体" w:hint="eastAsia"/>
          <w:sz w:val="24"/>
        </w:rPr>
        <w:t>项目</w:t>
      </w:r>
      <w:r>
        <w:rPr>
          <w:rFonts w:ascii="宋体" w:hAnsi="宋体" w:cs="宋体" w:hint="eastAsia"/>
          <w:sz w:val="24"/>
        </w:rPr>
        <w:t>（旧电梯更新）</w:t>
      </w:r>
      <w:r w:rsidRPr="00EB7CF5">
        <w:rPr>
          <w:rFonts w:ascii="宋体" w:hAnsi="宋体" w:cs="宋体" w:hint="eastAsia"/>
          <w:sz w:val="24"/>
        </w:rPr>
        <w:t>进行单一来源采购</w:t>
      </w:r>
      <w:r w:rsidR="00D86B4C">
        <w:rPr>
          <w:rFonts w:ascii="宋体" w:hAnsi="宋体" w:cs="宋体" w:hint="eastAsia"/>
          <w:sz w:val="24"/>
        </w:rPr>
        <w:t>，公示期为三个工作日</w:t>
      </w:r>
      <w:r w:rsidRPr="00EB7CF5">
        <w:rPr>
          <w:rFonts w:ascii="宋体" w:hAnsi="宋体" w:cs="宋体" w:hint="eastAsia"/>
          <w:sz w:val="24"/>
        </w:rPr>
        <w:t>。</w:t>
      </w:r>
      <w:r w:rsidR="000317BE" w:rsidRPr="000317BE">
        <w:rPr>
          <w:rFonts w:ascii="宋体" w:hAnsi="宋体" w:cs="宋体" w:hint="eastAsia"/>
          <w:sz w:val="24"/>
        </w:rPr>
        <w:t>有关本项目单一来源采购的其他事项，请与</w:t>
      </w:r>
      <w:r w:rsidR="000317BE">
        <w:rPr>
          <w:rFonts w:ascii="宋体" w:hAnsi="宋体" w:cs="宋体" w:hint="eastAsia"/>
          <w:sz w:val="24"/>
        </w:rPr>
        <w:t>采购中心</w:t>
      </w:r>
      <w:r w:rsidR="00611E92">
        <w:rPr>
          <w:rFonts w:ascii="宋体" w:hAnsi="宋体" w:cs="宋体" w:hint="eastAsia"/>
          <w:sz w:val="24"/>
        </w:rPr>
        <w:t>联系，</w:t>
      </w:r>
      <w:r w:rsidR="00880E3C">
        <w:rPr>
          <w:rFonts w:ascii="宋体" w:hAnsi="宋体" w:cs="宋体" w:hint="eastAsia"/>
          <w:sz w:val="24"/>
        </w:rPr>
        <w:t>联系人：蔡老师、肖老师，联系号码0574-87016979。</w:t>
      </w:r>
    </w:p>
    <w:p w:rsidR="00182563" w:rsidRDefault="00182563" w:rsidP="001825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三、供应商须知：</w:t>
      </w:r>
    </w:p>
    <w:p w:rsidR="00182563" w:rsidRDefault="00182563" w:rsidP="00182563">
      <w:pPr>
        <w:spacing w:line="400" w:lineRule="exact"/>
        <w:jc w:val="left"/>
        <w:rPr>
          <w:rFonts w:ascii="宋体" w:hAnsi="宋体" w:cs="宋体"/>
          <w:sz w:val="24"/>
        </w:rPr>
      </w:pPr>
      <w:r w:rsidRPr="001D1497">
        <w:rPr>
          <w:rFonts w:ascii="宋体" w:hAnsi="宋体" w:hint="eastAsia"/>
          <w:sz w:val="24"/>
          <w:szCs w:val="32"/>
        </w:rPr>
        <w:t>1、</w:t>
      </w:r>
      <w:r>
        <w:rPr>
          <w:rFonts w:ascii="宋体" w:hAnsi="宋体" w:cs="宋体" w:hint="eastAsia"/>
          <w:sz w:val="24"/>
        </w:rPr>
        <w:t>本报价</w:t>
      </w:r>
      <w:r w:rsidR="00EB7CF5">
        <w:rPr>
          <w:rFonts w:ascii="宋体" w:hAnsi="宋体" w:cs="宋体" w:hint="eastAsia"/>
          <w:sz w:val="24"/>
        </w:rPr>
        <w:t>为</w:t>
      </w:r>
      <w:r>
        <w:rPr>
          <w:rFonts w:ascii="宋体" w:hAnsi="宋体" w:cs="宋体" w:hint="eastAsia"/>
          <w:sz w:val="24"/>
        </w:rPr>
        <w:t>工程总价</w:t>
      </w:r>
      <w:r w:rsidR="00EB7CF5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包括全部进口件关税，包括设备费、安装调试费、运输费、运输保险费、包装费、设备起吊费、脚手架</w:t>
      </w:r>
      <w:proofErr w:type="gramStart"/>
      <w:r>
        <w:rPr>
          <w:rFonts w:ascii="宋体" w:hAnsi="宋体" w:cs="宋体" w:hint="eastAsia"/>
          <w:sz w:val="24"/>
        </w:rPr>
        <w:t>搭设费</w:t>
      </w:r>
      <w:proofErr w:type="gramEnd"/>
      <w:r>
        <w:rPr>
          <w:rFonts w:ascii="宋体" w:hAnsi="宋体" w:cs="宋体" w:hint="eastAsia"/>
          <w:sz w:val="24"/>
        </w:rPr>
        <w:t>及宁波市特种设备检验研究院验收费</w:t>
      </w:r>
      <w:r>
        <w:rPr>
          <w:rFonts w:hAnsi="宋体" w:cs="宋体" w:hint="eastAsia"/>
          <w:sz w:val="24"/>
        </w:rPr>
        <w:t>、井道及机房整改费</w:t>
      </w:r>
      <w:r>
        <w:rPr>
          <w:rFonts w:ascii="宋体" w:hAnsi="宋体" w:cs="宋体" w:hint="eastAsia"/>
          <w:sz w:val="24"/>
        </w:rPr>
        <w:t>。</w:t>
      </w:r>
    </w:p>
    <w:p w:rsidR="00182563" w:rsidRDefault="00182563" w:rsidP="00182563">
      <w:pPr>
        <w:spacing w:line="400" w:lineRule="exact"/>
        <w:jc w:val="left"/>
        <w:rPr>
          <w:rFonts w:ascii="宋体" w:hAnsi="宋体"/>
          <w:sz w:val="24"/>
          <w:szCs w:val="32"/>
        </w:rPr>
      </w:pPr>
      <w:r w:rsidRPr="001D1497">
        <w:rPr>
          <w:rFonts w:ascii="宋体" w:hAnsi="宋体" w:hint="eastAsia"/>
          <w:sz w:val="24"/>
          <w:szCs w:val="32"/>
        </w:rPr>
        <w:t>2、由供应商提供的产品和服务必须符合国家规定的相关规范、条例及标准。</w:t>
      </w:r>
    </w:p>
    <w:p w:rsidR="00182563" w:rsidRPr="00FD1795" w:rsidRDefault="00182563" w:rsidP="00182563">
      <w:pPr>
        <w:rPr>
          <w:sz w:val="28"/>
          <w:szCs w:val="28"/>
        </w:rPr>
      </w:pPr>
      <w:r w:rsidRPr="00FD1795">
        <w:rPr>
          <w:rFonts w:hint="eastAsia"/>
          <w:sz w:val="28"/>
          <w:szCs w:val="28"/>
        </w:rPr>
        <w:t>四、技术参数及</w:t>
      </w:r>
      <w:r>
        <w:rPr>
          <w:rFonts w:hint="eastAsia"/>
          <w:sz w:val="28"/>
          <w:szCs w:val="28"/>
        </w:rPr>
        <w:t>项目</w:t>
      </w:r>
      <w:r w:rsidRPr="00FD1795"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</w:rPr>
        <w:t>：</w:t>
      </w:r>
    </w:p>
    <w:p w:rsidR="00182563" w:rsidRPr="00182563" w:rsidRDefault="00182563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182563" w:rsidRDefault="00182563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182563" w:rsidRDefault="00182563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DF379E" w:rsidRDefault="00880E3C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一、电梯设备土建设计参数及数量统计表</w:t>
      </w:r>
    </w:p>
    <w:tbl>
      <w:tblPr>
        <w:tblW w:w="153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83"/>
        <w:gridCol w:w="1641"/>
        <w:gridCol w:w="992"/>
        <w:gridCol w:w="1023"/>
        <w:gridCol w:w="1320"/>
        <w:gridCol w:w="1185"/>
        <w:gridCol w:w="945"/>
        <w:gridCol w:w="885"/>
        <w:gridCol w:w="1275"/>
        <w:gridCol w:w="1050"/>
        <w:gridCol w:w="1305"/>
        <w:gridCol w:w="840"/>
        <w:gridCol w:w="1290"/>
      </w:tblGrid>
      <w:tr w:rsidR="00DF379E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梯号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类型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每层层高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（mm）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顶层层高（净高）（mm）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机房层高（含楼板）（mm）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门洞尺寸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（mm）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提升高度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（mm）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载重量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≥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速度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停靠站数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（层/站/门）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基坑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深度</w:t>
            </w:r>
          </w:p>
          <w:p w:rsidR="00DF379E" w:rsidRDefault="00880E3C">
            <w:pPr>
              <w:ind w:firstLineChars="50" w:firstLine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（mm）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井道尺寸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（宽×深）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（mm）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电梯数量</w:t>
            </w:r>
          </w:p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（台）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</w:tr>
      <w:tr w:rsidR="00DF379E">
        <w:trPr>
          <w:trHeight w:val="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11号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客梯兼无障碍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电梯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1F-4500</w:t>
            </w:r>
          </w:p>
          <w:p w:rsidR="00DF379E" w:rsidRDefault="00880E3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2F-4200</w:t>
            </w:r>
          </w:p>
          <w:p w:rsidR="00DF379E" w:rsidRDefault="00880E3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3F-4200</w:t>
            </w:r>
          </w:p>
          <w:p w:rsidR="00DF379E" w:rsidRDefault="00880E3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4F-4200</w:t>
            </w:r>
          </w:p>
          <w:p w:rsidR="00DF379E" w:rsidRDefault="00880E3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5F-4000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1300×2200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5/5/5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2380×2185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1 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DF37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F379E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DF37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1台</w:t>
            </w:r>
          </w:p>
        </w:tc>
      </w:tr>
    </w:tbl>
    <w:p w:rsidR="00DF379E" w:rsidRDefault="00880E3C">
      <w:pPr>
        <w:adjustRightInd w:val="0"/>
        <w:snapToGrid w:val="0"/>
        <w:spacing w:line="276" w:lineRule="auto"/>
        <w:rPr>
          <w:rFonts w:ascii="仿宋" w:eastAsia="仿宋" w:hAnsi="仿宋" w:cs="仿宋"/>
          <w:szCs w:val="21"/>
        </w:rPr>
        <w:sectPr w:rsidR="00DF379E">
          <w:pgSz w:w="16840" w:h="11907" w:orient="landscape"/>
          <w:pgMar w:top="1588" w:right="1304" w:bottom="1588" w:left="1304" w:header="720" w:footer="720" w:gutter="0"/>
          <w:cols w:space="720"/>
          <w:docGrid w:type="lines" w:linePitch="286"/>
        </w:sectPr>
      </w:pPr>
      <w:r>
        <w:rPr>
          <w:rFonts w:ascii="仿宋" w:eastAsia="仿宋" w:hAnsi="仿宋" w:cs="仿宋" w:hint="eastAsia"/>
        </w:rPr>
        <w:t xml:space="preserve">备注：1、具体尺寸、技术要求以图纸为准。    </w:t>
      </w:r>
      <w:r>
        <w:rPr>
          <w:rFonts w:ascii="仿宋" w:eastAsia="仿宋" w:hAnsi="仿宋" w:cs="仿宋" w:hint="eastAsia"/>
          <w:szCs w:val="21"/>
        </w:rPr>
        <w:t>2、消防电梯各功能设置必须要满足当地政府消防部门消防验收的要求。</w:t>
      </w:r>
    </w:p>
    <w:p w:rsidR="00DF379E" w:rsidRDefault="00880E3C">
      <w:pPr>
        <w:pStyle w:val="a5"/>
      </w:pPr>
      <w:bookmarkStart w:id="0" w:name="_Toc21199"/>
      <w:bookmarkStart w:id="1" w:name="_Toc22848"/>
      <w:r>
        <w:rPr>
          <w:rFonts w:ascii="宋体" w:hAnsi="宋体" w:cs="宋体" w:hint="eastAsia"/>
        </w:rPr>
        <w:lastRenderedPageBreak/>
        <w:t>2、电梯技术参数及轿厢装饰要求</w:t>
      </w:r>
      <w:bookmarkEnd w:id="0"/>
      <w:bookmarkEnd w:id="1"/>
    </w:p>
    <w:tbl>
      <w:tblPr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2"/>
        <w:gridCol w:w="4492"/>
      </w:tblGrid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11#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电梯类型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有机房客梯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1台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载重kg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1350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速度m/s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1.0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层/站/门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5/5/5</w:t>
            </w:r>
          </w:p>
        </w:tc>
      </w:tr>
      <w:tr w:rsidR="00DF379E">
        <w:trPr>
          <w:trHeight w:val="51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井道净尺寸（宽*深）mm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2380*2185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轿厢净尺寸（宽*深*高）mm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1900*1450*2400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开门净尺寸（宽*高）mm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1100*2100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开门方式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中分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底坑深度mm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1750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顶层净高mm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4000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提升高度mm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17100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机房类型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有机房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轿壁材质</w:t>
            </w:r>
            <w:proofErr w:type="gramEnd"/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抗指纹304发纹不锈钢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轿门材质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抗指纹304发纹不锈钢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吊顶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304发纹不锈钢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加亚克力板加LED灯</w:t>
            </w:r>
          </w:p>
        </w:tc>
      </w:tr>
      <w:tr w:rsidR="00DF379E">
        <w:trPr>
          <w:trHeight w:val="446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地面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地胶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厅门及小门套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抗指纹304发纹不锈钢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pStyle w:val="a3"/>
              <w:spacing w:line="440" w:lineRule="exact"/>
              <w:ind w:firstLine="0"/>
              <w:jc w:val="center"/>
              <w:rPr>
                <w:rFonts w:hAnsi="宋体" w:cs="宋体"/>
                <w:color w:val="000000"/>
                <w:kern w:val="0"/>
              </w:rPr>
            </w:pPr>
            <w:r>
              <w:rPr>
                <w:rFonts w:hAnsi="宋体" w:cs="宋体" w:hint="eastAsia"/>
              </w:rPr>
              <w:t>轿内操作盘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发纹不锈钢面板，显示器为液晶显示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pStyle w:val="a3"/>
              <w:spacing w:line="440" w:lineRule="exact"/>
              <w:ind w:firstLine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厅外召唤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发纹不锈钢面板，显示器为液晶显示</w:t>
            </w:r>
          </w:p>
        </w:tc>
      </w:tr>
      <w:tr w:rsidR="00DF379E">
        <w:trPr>
          <w:trHeight w:val="9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pStyle w:val="a3"/>
              <w:spacing w:line="440" w:lineRule="exact"/>
              <w:ind w:firstLine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地坎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pStyle w:val="a3"/>
              <w:spacing w:line="440" w:lineRule="exact"/>
              <w:ind w:firstLine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铝合金</w:t>
            </w:r>
          </w:p>
        </w:tc>
      </w:tr>
      <w:tr w:rsidR="00DF379E">
        <w:trPr>
          <w:trHeight w:val="82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pStyle w:val="a3"/>
              <w:spacing w:line="440" w:lineRule="exact"/>
              <w:ind w:firstLine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门厅按钮及显示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pStyle w:val="a3"/>
              <w:spacing w:line="440" w:lineRule="exact"/>
              <w:ind w:firstLine="0"/>
              <w:jc w:val="left"/>
              <w:rPr>
                <w:rFonts w:hAnsi="宋体" w:cs="宋体"/>
              </w:rPr>
            </w:pPr>
            <w:r>
              <w:rPr>
                <w:rFonts w:hint="eastAsia"/>
                <w:color w:val="000000"/>
              </w:rPr>
              <w:t>发纹不锈钢面板上装有微动发光二极管照明的按钮、每层门厅楼层显示、运行方向</w:t>
            </w:r>
          </w:p>
        </w:tc>
      </w:tr>
      <w:tr w:rsidR="00DF379E">
        <w:trPr>
          <w:trHeight w:val="820"/>
          <w:jc w:val="center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79E" w:rsidRDefault="00880E3C">
            <w:pPr>
              <w:pStyle w:val="a3"/>
              <w:spacing w:line="440" w:lineRule="exact"/>
              <w:ind w:firstLine="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备注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379E" w:rsidRDefault="00880E3C">
            <w:pPr>
              <w:pStyle w:val="a3"/>
              <w:spacing w:line="440" w:lineRule="exact"/>
              <w:ind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物联网、数字视频电缆、语音报站、五方通话、单冷空调、刷卡功能</w:t>
            </w:r>
          </w:p>
        </w:tc>
      </w:tr>
    </w:tbl>
    <w:p w:rsidR="00DF379E" w:rsidRDefault="00DF379E">
      <w:pPr>
        <w:pStyle w:val="a5"/>
        <w:jc w:val="left"/>
        <w:rPr>
          <w:rFonts w:ascii="宋体" w:hAnsi="宋体" w:cs="宋体"/>
        </w:rPr>
      </w:pPr>
    </w:p>
    <w:p w:rsidR="00DF379E" w:rsidRDefault="00880E3C">
      <w:pPr>
        <w:pStyle w:val="a5"/>
        <w:jc w:val="left"/>
        <w:rPr>
          <w:rFonts w:ascii="宋体" w:hAnsi="宋体" w:cs="宋体"/>
        </w:rPr>
      </w:pPr>
      <w:bookmarkStart w:id="2" w:name="_Toc5158"/>
      <w:r>
        <w:rPr>
          <w:rFonts w:ascii="宋体" w:hAnsi="宋体" w:cs="宋体" w:hint="eastAsia"/>
        </w:rPr>
        <w:lastRenderedPageBreak/>
        <w:t>3、电梯主要部件清单</w:t>
      </w:r>
      <w:bookmarkEnd w:id="2"/>
    </w:p>
    <w:p w:rsidR="00DF379E" w:rsidRDefault="00DF379E"/>
    <w:tbl>
      <w:tblPr>
        <w:tblW w:w="102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680"/>
        <w:gridCol w:w="2668"/>
        <w:gridCol w:w="2678"/>
        <w:gridCol w:w="1629"/>
      </w:tblGrid>
      <w:tr w:rsidR="00DF379E">
        <w:trPr>
          <w:trHeight w:val="17"/>
        </w:trPr>
        <w:tc>
          <w:tcPr>
            <w:tcW w:w="594" w:type="dxa"/>
          </w:tcPr>
          <w:p w:rsidR="00DF379E" w:rsidRDefault="00880E3C">
            <w:pPr>
              <w:spacing w:line="240" w:lineRule="atLeast"/>
              <w:jc w:val="center"/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680" w:type="dxa"/>
            <w:vAlign w:val="center"/>
          </w:tcPr>
          <w:p w:rsidR="00DF379E" w:rsidRDefault="00880E3C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主要部件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  号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品牌类别</w:t>
            </w:r>
          </w:p>
        </w:tc>
        <w:tc>
          <w:tcPr>
            <w:tcW w:w="1629" w:type="dxa"/>
            <w:vAlign w:val="center"/>
          </w:tcPr>
          <w:p w:rsidR="00DF379E" w:rsidRDefault="00880E3C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vAlign w:val="center"/>
          </w:tcPr>
          <w:p w:rsidR="00DF379E" w:rsidRDefault="00880E3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655" w:type="dxa"/>
            <w:gridSpan w:val="4"/>
          </w:tcPr>
          <w:p w:rsidR="00DF379E" w:rsidRDefault="00880E3C">
            <w:pPr>
              <w:tabs>
                <w:tab w:val="left" w:pos="1500"/>
                <w:tab w:val="left" w:pos="2205"/>
                <w:tab w:val="left" w:pos="8505"/>
                <w:tab w:val="right" w:pos="10156"/>
              </w:tabs>
              <w:spacing w:line="240" w:lineRule="atLeast"/>
              <w:rPr>
                <w:rFonts w:ascii="宋体" w:hAnsi="宋体"/>
                <w:b/>
                <w:sz w:val="24"/>
                <w:highlight w:val="lightGray"/>
              </w:rPr>
            </w:pPr>
            <w:r>
              <w:rPr>
                <w:rFonts w:ascii="宋体" w:hAnsi="宋体" w:hint="eastAsia"/>
                <w:b/>
                <w:sz w:val="24"/>
                <w:highlight w:val="lightGray"/>
              </w:rPr>
              <w:t>曳引系统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  <w:highlight w:val="lightGray"/>
              </w:rPr>
              <w:t xml:space="preserve">          </w:t>
            </w:r>
          </w:p>
        </w:tc>
      </w:tr>
      <w:tr w:rsidR="00DF379E">
        <w:trPr>
          <w:trHeight w:val="417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曳引机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MINI系列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宁波宏大</w:t>
            </w: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40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旋转编码器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XDEL-2048-AVV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cs="Cambria Math" w:hint="eastAsia"/>
                <w:sz w:val="24"/>
              </w:rPr>
              <w:t>宁波欣达</w:t>
            </w:r>
            <w:proofErr w:type="gramEnd"/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469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/>
            <w:vAlign w:val="center"/>
          </w:tcPr>
          <w:p w:rsidR="00DF379E" w:rsidRDefault="00DF379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24"/>
              </w:rPr>
              <w:t>ES53CA-XD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长春汇通</w:t>
            </w: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vAlign w:val="center"/>
          </w:tcPr>
          <w:p w:rsidR="00DF379E" w:rsidRDefault="00880E3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655" w:type="dxa"/>
            <w:gridSpan w:val="4"/>
            <w:vAlign w:val="center"/>
          </w:tcPr>
          <w:p w:rsidR="00DF379E" w:rsidRDefault="00880E3C">
            <w:pPr>
              <w:tabs>
                <w:tab w:val="left" w:pos="1500"/>
                <w:tab w:val="left" w:pos="2205"/>
                <w:tab w:val="left" w:pos="8505"/>
                <w:tab w:val="right" w:pos="10156"/>
              </w:tabs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highlight w:val="lightGray"/>
              </w:rPr>
              <w:t>控制柜系统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tabs>
                <w:tab w:val="left" w:pos="8505"/>
              </w:tabs>
              <w:spacing w:line="240" w:lineRule="atLeast"/>
              <w:rPr>
                <w:rFonts w:ascii="宋体" w:hAnsi="宋体"/>
                <w:b/>
                <w:sz w:val="24"/>
                <w:highlight w:val="lightGray"/>
              </w:rPr>
            </w:pPr>
            <w:r>
              <w:rPr>
                <w:rFonts w:ascii="宋体" w:hAnsi="宋体" w:hint="eastAsia"/>
                <w:b/>
                <w:sz w:val="24"/>
              </w:rPr>
              <w:t>驱动系统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HD-L-C系列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880E3C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组件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功率单元控制芯片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TMS320F/AVP/ADP系列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德州仪器/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中国进芯</w:t>
            </w:r>
            <w:proofErr w:type="gramEnd"/>
          </w:p>
        </w:tc>
        <w:tc>
          <w:tcPr>
            <w:tcW w:w="1629" w:type="dxa"/>
            <w:vMerge w:val="restart"/>
            <w:vAlign w:val="center"/>
          </w:tcPr>
          <w:p w:rsidR="00DF379E" w:rsidRDefault="00880E3C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主要元件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智能功率模块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7MBR/FP/MMG/GD系列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日本FUJI/德国EUPEC/中国宏微/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中国斯</w:t>
            </w:r>
            <w:proofErr w:type="gramEnd"/>
            <w:r>
              <w:rPr>
                <w:rFonts w:ascii="宋体" w:hAnsi="宋体" w:hint="eastAsia"/>
                <w:sz w:val="24"/>
              </w:rPr>
              <w:t>达</w:t>
            </w:r>
          </w:p>
        </w:tc>
        <w:tc>
          <w:tcPr>
            <w:tcW w:w="1629" w:type="dxa"/>
            <w:vMerge/>
            <w:vAlign w:val="center"/>
          </w:tcPr>
          <w:p w:rsidR="00DF379E" w:rsidRDefault="00DF379E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光</w:t>
            </w:r>
            <w:proofErr w:type="gramStart"/>
            <w:r>
              <w:rPr>
                <w:rFonts w:ascii="宋体" w:hAnsi="宋体" w:hint="eastAsia"/>
                <w:sz w:val="24"/>
              </w:rPr>
              <w:t>耦</w:t>
            </w:r>
            <w:proofErr w:type="gramEnd"/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HCPL-181/LTV356TB/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EL357系列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美国博通/台湾光宝/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台湾亿光</w:t>
            </w:r>
            <w:proofErr w:type="gramEnd"/>
          </w:p>
        </w:tc>
        <w:tc>
          <w:tcPr>
            <w:tcW w:w="1629" w:type="dxa"/>
            <w:vMerge/>
            <w:vAlign w:val="center"/>
          </w:tcPr>
          <w:p w:rsidR="00DF379E" w:rsidRDefault="00DF379E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场效应管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BL4N150/NDUL03N/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STFW3N系列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中国贝岭/美国安森美/意大利ST</w:t>
            </w:r>
          </w:p>
        </w:tc>
        <w:tc>
          <w:tcPr>
            <w:tcW w:w="1629" w:type="dxa"/>
            <w:vMerge/>
            <w:vAlign w:val="center"/>
          </w:tcPr>
          <w:p w:rsidR="00DF379E" w:rsidRDefault="00DF379E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EEPROM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M24C64/BL24C64A/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AT24C64D</w:t>
            </w:r>
            <w:r>
              <w:rPr>
                <w:rFonts w:ascii="宋体" w:hAnsi="宋体"/>
                <w:sz w:val="24"/>
              </w:rPr>
              <w:t xml:space="preserve">系列 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意大利ST/中国贝岭/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美国MICROCHIP</w:t>
            </w:r>
          </w:p>
        </w:tc>
        <w:tc>
          <w:tcPr>
            <w:tcW w:w="1629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运算放大器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TL082CDR/RS8452XK/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TL082CDT系列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美国德州仪器/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中国润石/意大利ST</w:t>
            </w:r>
          </w:p>
        </w:tc>
        <w:tc>
          <w:tcPr>
            <w:tcW w:w="1629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主控制系统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MCTC-MCB-C2-HD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tabs>
                <w:tab w:val="left" w:pos="8505"/>
              </w:tabs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880E3C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组件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主芯片CPU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N32G系列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中国国民技术</w:t>
            </w:r>
          </w:p>
        </w:tc>
        <w:tc>
          <w:tcPr>
            <w:tcW w:w="1629" w:type="dxa"/>
            <w:vMerge w:val="restart"/>
            <w:vAlign w:val="center"/>
          </w:tcPr>
          <w:p w:rsidR="00DF379E" w:rsidRDefault="00880E3C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主要元件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485总线接口芯片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BL1585B/TP8485E-SR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中国贝岭/3PEAK</w:t>
            </w:r>
          </w:p>
        </w:tc>
        <w:tc>
          <w:tcPr>
            <w:tcW w:w="1629" w:type="dxa"/>
            <w:vMerge/>
            <w:vAlign w:val="center"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CAN总线控制器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SN65HVD251DR</w:t>
            </w:r>
            <w:r>
              <w:rPr>
                <w:rFonts w:ascii="宋体" w:hAnsi="宋体" w:hint="eastAsia"/>
                <w:sz w:val="24"/>
              </w:rPr>
              <w:t>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TJA1051T</w:t>
            </w:r>
            <w:r>
              <w:rPr>
                <w:rFonts w:ascii="宋体" w:hAnsi="宋体" w:hint="eastAsia"/>
                <w:sz w:val="24"/>
              </w:rPr>
              <w:t>-1J/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CA-IF1051HS系列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美国德州仪器/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荷兰</w:t>
            </w:r>
            <w:proofErr w:type="gramStart"/>
            <w:r>
              <w:rPr>
                <w:rFonts w:ascii="宋体" w:hAnsi="宋体" w:hint="eastAsia"/>
                <w:sz w:val="24"/>
              </w:rPr>
              <w:t>恩智浦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</w:t>
            </w:r>
            <w:proofErr w:type="gramStart"/>
            <w:r>
              <w:rPr>
                <w:rFonts w:ascii="宋体" w:hAnsi="宋体" w:hint="eastAsia"/>
                <w:sz w:val="24"/>
              </w:rPr>
              <w:t>川土微</w:t>
            </w:r>
            <w:proofErr w:type="gramEnd"/>
          </w:p>
        </w:tc>
        <w:tc>
          <w:tcPr>
            <w:tcW w:w="1629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光</w:t>
            </w:r>
            <w:proofErr w:type="gramStart"/>
            <w:r>
              <w:rPr>
                <w:rFonts w:ascii="宋体" w:hAnsi="宋体" w:hint="eastAsia"/>
                <w:sz w:val="24"/>
              </w:rPr>
              <w:t>耦</w:t>
            </w:r>
            <w:proofErr w:type="gramEnd"/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HCPL-181/LTV356TB/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EL357系列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美国博通/台湾光宝/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台湾亿光</w:t>
            </w:r>
            <w:proofErr w:type="gramEnd"/>
          </w:p>
        </w:tc>
        <w:tc>
          <w:tcPr>
            <w:tcW w:w="1629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EEPROM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M24C64/BL24C64A/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AT24C64D</w:t>
            </w:r>
            <w:r>
              <w:rPr>
                <w:rFonts w:ascii="宋体" w:hAnsi="宋体"/>
                <w:sz w:val="24"/>
              </w:rPr>
              <w:t xml:space="preserve">系列 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意大利ST/中国贝岭/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美国MICROCHIP</w:t>
            </w:r>
          </w:p>
        </w:tc>
        <w:tc>
          <w:tcPr>
            <w:tcW w:w="1629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655" w:type="dxa"/>
            <w:gridSpan w:val="4"/>
          </w:tcPr>
          <w:p w:rsidR="00DF379E" w:rsidRDefault="00880E3C">
            <w:pPr>
              <w:tabs>
                <w:tab w:val="left" w:pos="6120"/>
              </w:tabs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接触器及其它电控元器件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接触器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GSC1/3RT系列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天水213/西门子</w:t>
            </w:r>
          </w:p>
        </w:tc>
        <w:tc>
          <w:tcPr>
            <w:tcW w:w="1629" w:type="dxa"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断路器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DZ47G/CDB/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TGB1NLE(LG）系列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上海普发/</w:t>
            </w:r>
            <w:proofErr w:type="gramStart"/>
            <w:r>
              <w:rPr>
                <w:rFonts w:ascii="宋体" w:hAnsi="宋体" w:hint="eastAsia"/>
                <w:sz w:val="24"/>
              </w:rPr>
              <w:t>德力西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天正</w:t>
            </w:r>
          </w:p>
        </w:tc>
        <w:tc>
          <w:tcPr>
            <w:tcW w:w="1629" w:type="dxa"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变压器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JBK5/JHZ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</w:tcPr>
          <w:p w:rsidR="00DF379E" w:rsidRDefault="00DF379E">
            <w:pPr>
              <w:tabs>
                <w:tab w:val="left" w:pos="6120"/>
              </w:tabs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655" w:type="dxa"/>
            <w:gridSpan w:val="4"/>
            <w:vAlign w:val="center"/>
          </w:tcPr>
          <w:p w:rsidR="00DF379E" w:rsidRDefault="00880E3C">
            <w:pPr>
              <w:tabs>
                <w:tab w:val="left" w:pos="1500"/>
                <w:tab w:val="left" w:pos="2205"/>
                <w:tab w:val="left" w:pos="8505"/>
                <w:tab w:val="right" w:pos="10156"/>
              </w:tabs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highlight w:val="lightGray"/>
              </w:rPr>
              <w:t>轿厢系统</w:t>
            </w:r>
            <w:r>
              <w:rPr>
                <w:rFonts w:ascii="宋体" w:hAnsi="宋体"/>
                <w:sz w:val="24"/>
              </w:rPr>
              <w:tab/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轿架</w:t>
            </w:r>
            <w:proofErr w:type="gramEnd"/>
          </w:p>
        </w:tc>
        <w:tc>
          <w:tcPr>
            <w:tcW w:w="266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J01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轿壁</w:t>
            </w:r>
            <w:proofErr w:type="gramEnd"/>
          </w:p>
        </w:tc>
        <w:tc>
          <w:tcPr>
            <w:tcW w:w="266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J02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轿门</w:t>
            </w:r>
          </w:p>
        </w:tc>
        <w:tc>
          <w:tcPr>
            <w:tcW w:w="266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轿顶</w:t>
            </w:r>
          </w:p>
        </w:tc>
        <w:tc>
          <w:tcPr>
            <w:tcW w:w="266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J02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装饰吊顶</w:t>
            </w:r>
          </w:p>
        </w:tc>
        <w:tc>
          <w:tcPr>
            <w:tcW w:w="266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NPD系列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地板</w:t>
            </w:r>
          </w:p>
        </w:tc>
        <w:tc>
          <w:tcPr>
            <w:tcW w:w="266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NHD系列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9655" w:type="dxa"/>
            <w:gridSpan w:val="4"/>
            <w:tcBorders>
              <w:left w:val="single" w:sz="4" w:space="0" w:color="auto"/>
            </w:tcBorders>
            <w:vAlign w:val="center"/>
          </w:tcPr>
          <w:p w:rsidR="00DF379E" w:rsidRDefault="00880E3C">
            <w:pPr>
              <w:tabs>
                <w:tab w:val="left" w:pos="1500"/>
                <w:tab w:val="left" w:pos="2205"/>
                <w:tab w:val="left" w:pos="8505"/>
                <w:tab w:val="right" w:pos="10156"/>
              </w:tabs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highlight w:val="lightGray"/>
              </w:rPr>
              <w:t>门机系统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          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门机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XD系列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宁波宏大/</w:t>
            </w:r>
            <w:proofErr w:type="gramStart"/>
            <w:r>
              <w:rPr>
                <w:rFonts w:ascii="宋体" w:hAnsi="宋体" w:hint="eastAsia"/>
                <w:sz w:val="24"/>
              </w:rPr>
              <w:t>宁波欣达</w:t>
            </w:r>
            <w:proofErr w:type="gramEnd"/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门机变频器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LB/HD系列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宁波宏大/</w:t>
            </w:r>
            <w:proofErr w:type="gramStart"/>
            <w:r>
              <w:rPr>
                <w:rFonts w:ascii="宋体" w:hAnsi="宋体" w:hint="eastAsia"/>
                <w:sz w:val="24"/>
              </w:rPr>
              <w:t>宁波欣达</w:t>
            </w:r>
            <w:proofErr w:type="gramEnd"/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光幕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917/B154/632系列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宁波微科</w:t>
            </w:r>
            <w:proofErr w:type="gramEnd"/>
            <w:r>
              <w:rPr>
                <w:rFonts w:ascii="宋体" w:hAnsi="宋体" w:hint="eastAsia"/>
                <w:sz w:val="24"/>
              </w:rPr>
              <w:t>/宁波嘉</w:t>
            </w:r>
            <w:proofErr w:type="gramStart"/>
            <w:r>
              <w:rPr>
                <w:rFonts w:ascii="宋体" w:hAnsi="宋体" w:hint="eastAsia"/>
                <w:sz w:val="24"/>
              </w:rPr>
              <w:t>美森/宁波赛</w:t>
            </w:r>
            <w:proofErr w:type="gramEnd"/>
            <w:r>
              <w:rPr>
                <w:rFonts w:ascii="宋体" w:hAnsi="宋体" w:hint="eastAsia"/>
                <w:sz w:val="24"/>
              </w:rPr>
              <w:t>福特</w:t>
            </w: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655" w:type="dxa"/>
            <w:gridSpan w:val="4"/>
            <w:vAlign w:val="center"/>
          </w:tcPr>
          <w:p w:rsidR="00DF379E" w:rsidRDefault="00880E3C">
            <w:pPr>
              <w:tabs>
                <w:tab w:val="left" w:pos="1500"/>
                <w:tab w:val="left" w:pos="2205"/>
                <w:tab w:val="left" w:pos="8505"/>
                <w:tab w:val="right" w:pos="10156"/>
              </w:tabs>
              <w:spacing w:line="240" w:lineRule="atLeas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highlight w:val="lightGray"/>
              </w:rPr>
              <w:t>层门系统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  <w:tcBorders>
              <w:top w:val="nil"/>
            </w:tcBorders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层门装置</w:t>
            </w:r>
            <w:proofErr w:type="gramEnd"/>
          </w:p>
        </w:tc>
        <w:tc>
          <w:tcPr>
            <w:tcW w:w="2668" w:type="dxa"/>
            <w:vMerge w:val="restart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HB</w:t>
            </w:r>
            <w:r>
              <w:rPr>
                <w:rFonts w:ascii="宋体" w:hAnsi="宋体"/>
                <w:sz w:val="24"/>
              </w:rPr>
              <w:t>/XD</w:t>
            </w:r>
            <w:r>
              <w:rPr>
                <w:rFonts w:ascii="宋体" w:hAnsi="宋体" w:hint="eastAsia"/>
                <w:sz w:val="24"/>
              </w:rPr>
              <w:t>系列</w:t>
            </w:r>
          </w:p>
        </w:tc>
        <w:tc>
          <w:tcPr>
            <w:tcW w:w="2678" w:type="dxa"/>
            <w:vMerge w:val="restart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宁波欣达</w:t>
            </w:r>
            <w:proofErr w:type="gramEnd"/>
            <w:r>
              <w:rPr>
                <w:rFonts w:ascii="宋体" w:hAnsi="宋体" w:hint="eastAsia"/>
                <w:sz w:val="24"/>
              </w:rPr>
              <w:t>/宁波宏大</w:t>
            </w: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tcBorders>
              <w:top w:val="nil"/>
            </w:tcBorders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层门和门套</w:t>
            </w:r>
            <w:proofErr w:type="gramEnd"/>
          </w:p>
        </w:tc>
        <w:tc>
          <w:tcPr>
            <w:tcW w:w="2668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655" w:type="dxa"/>
            <w:gridSpan w:val="4"/>
            <w:vAlign w:val="center"/>
          </w:tcPr>
          <w:p w:rsidR="00DF379E" w:rsidRDefault="00880E3C">
            <w:pPr>
              <w:tabs>
                <w:tab w:val="left" w:pos="1500"/>
                <w:tab w:val="left" w:pos="2205"/>
                <w:tab w:val="left" w:pos="8505"/>
                <w:tab w:val="right" w:pos="10156"/>
              </w:tabs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highlight w:val="lightGray"/>
              </w:rPr>
              <w:t>人机交换系统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操纵箱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COP系列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召唤箱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HOP系列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655" w:type="dxa"/>
            <w:gridSpan w:val="4"/>
            <w:vAlign w:val="center"/>
          </w:tcPr>
          <w:p w:rsidR="00DF379E" w:rsidRDefault="00880E3C">
            <w:pPr>
              <w:tabs>
                <w:tab w:val="left" w:pos="8505"/>
              </w:tabs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highlight w:val="lightGray"/>
              </w:rPr>
              <w:t>位置参考系统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平层感应器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SGD31</w:t>
            </w:r>
            <w:r>
              <w:rPr>
                <w:rFonts w:ascii="宋体" w:hAnsi="宋体" w:hint="eastAsia"/>
                <w:sz w:val="24"/>
                <w:szCs w:val="22"/>
              </w:rPr>
              <w:t>/SLUR/LB900系列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长春汇通/长春盛昊/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宁波乐邦</w:t>
            </w:r>
          </w:p>
        </w:tc>
        <w:tc>
          <w:tcPr>
            <w:tcW w:w="1629" w:type="dxa"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9655" w:type="dxa"/>
            <w:gridSpan w:val="4"/>
            <w:vAlign w:val="center"/>
          </w:tcPr>
          <w:p w:rsidR="00DF379E" w:rsidRDefault="00880E3C">
            <w:pPr>
              <w:tabs>
                <w:tab w:val="left" w:pos="1500"/>
                <w:tab w:val="left" w:pos="2205"/>
                <w:tab w:val="left" w:pos="8505"/>
                <w:tab w:val="right" w:pos="10156"/>
              </w:tabs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highlight w:val="lightGray"/>
              </w:rPr>
              <w:t>井道材料系统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轿厢导轨</w:t>
            </w:r>
          </w:p>
        </w:tc>
        <w:tc>
          <w:tcPr>
            <w:tcW w:w="2668" w:type="dxa"/>
            <w:vAlign w:val="center"/>
          </w:tcPr>
          <w:p w:rsidR="00DF379E" w:rsidRPr="00EB7CF5" w:rsidRDefault="00880E3C">
            <w:pPr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 w:hint="eastAsia"/>
                <w:sz w:val="24"/>
              </w:rPr>
              <w:t>T89系列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浙江保利/塞维拉</w:t>
            </w:r>
          </w:p>
        </w:tc>
        <w:tc>
          <w:tcPr>
            <w:tcW w:w="1629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/>
                <w:sz w:val="24"/>
              </w:rPr>
              <w:t>V</w:t>
            </w:r>
            <w:r w:rsidRPr="00EB7CF5">
              <w:rPr>
                <w:rFonts w:ascii="宋体" w:hAnsi="宋体" w:hint="eastAsia"/>
                <w:sz w:val="24"/>
              </w:rPr>
              <w:t>≤2.0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/>
            <w:vAlign w:val="center"/>
          </w:tcPr>
          <w:p w:rsidR="00DF379E" w:rsidRDefault="00DF379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8" w:type="dxa"/>
            <w:vAlign w:val="center"/>
          </w:tcPr>
          <w:p w:rsidR="00DF379E" w:rsidRPr="00EB7CF5" w:rsidRDefault="00880E3C">
            <w:pPr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 w:hint="eastAsia"/>
                <w:sz w:val="24"/>
              </w:rPr>
              <w:t>T114系列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浙江保利/塞维拉</w:t>
            </w:r>
          </w:p>
        </w:tc>
        <w:tc>
          <w:tcPr>
            <w:tcW w:w="1629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 w:hint="eastAsia"/>
                <w:sz w:val="24"/>
              </w:rPr>
              <w:t>V=2.5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对重导轨</w:t>
            </w:r>
          </w:p>
        </w:tc>
        <w:tc>
          <w:tcPr>
            <w:tcW w:w="2668" w:type="dxa"/>
            <w:vAlign w:val="center"/>
          </w:tcPr>
          <w:p w:rsidR="00DF379E" w:rsidRPr="00EB7CF5" w:rsidRDefault="00880E3C">
            <w:pPr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/>
                <w:sz w:val="24"/>
              </w:rPr>
              <w:t>TK3A</w:t>
            </w:r>
            <w:r w:rsidRPr="00EB7CF5">
              <w:rPr>
                <w:rFonts w:ascii="宋体" w:hAnsi="宋体" w:hint="eastAsia"/>
                <w:sz w:val="24"/>
              </w:rPr>
              <w:t>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浙江保利/塞维拉</w:t>
            </w:r>
          </w:p>
        </w:tc>
        <w:tc>
          <w:tcPr>
            <w:tcW w:w="1629" w:type="dxa"/>
          </w:tcPr>
          <w:p w:rsidR="00DF379E" w:rsidRPr="00EB7CF5" w:rsidRDefault="00880E3C">
            <w:pPr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 w:hint="eastAsia"/>
                <w:sz w:val="24"/>
              </w:rPr>
              <w:t>1</w:t>
            </w:r>
            <w:r w:rsidRPr="00EB7CF5">
              <w:rPr>
                <w:rFonts w:ascii="宋体" w:hAnsi="宋体"/>
                <w:sz w:val="24"/>
              </w:rPr>
              <w:t>.0m/s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/>
            <w:vAlign w:val="center"/>
          </w:tcPr>
          <w:p w:rsidR="00DF379E" w:rsidRDefault="00DF379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8" w:type="dxa"/>
            <w:vAlign w:val="center"/>
          </w:tcPr>
          <w:p w:rsidR="00DF379E" w:rsidRPr="00EB7CF5" w:rsidRDefault="00880E3C">
            <w:pPr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 w:hint="eastAsia"/>
                <w:sz w:val="24"/>
              </w:rPr>
              <w:t>TK5A系列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浙江保利/塞维拉</w:t>
            </w:r>
          </w:p>
        </w:tc>
        <w:tc>
          <w:tcPr>
            <w:tcW w:w="1629" w:type="dxa"/>
          </w:tcPr>
          <w:p w:rsidR="00DF379E" w:rsidRPr="00EB7CF5" w:rsidRDefault="00880E3C">
            <w:pPr>
              <w:ind w:leftChars="-87" w:left="-1" w:rightChars="-72" w:right="-151" w:hangingChars="76" w:hanging="182"/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/>
                <w:sz w:val="24"/>
              </w:rPr>
              <w:t>1.0</w:t>
            </w:r>
            <w:r w:rsidRPr="00EB7CF5">
              <w:rPr>
                <w:rFonts w:ascii="宋体" w:hAnsi="宋体" w:hint="eastAsia"/>
                <w:sz w:val="24"/>
              </w:rPr>
              <w:t>＜</w:t>
            </w:r>
            <w:r w:rsidRPr="00EB7CF5">
              <w:rPr>
                <w:rFonts w:ascii="宋体" w:hAnsi="宋体"/>
                <w:sz w:val="24"/>
              </w:rPr>
              <w:t>V</w:t>
            </w:r>
            <w:r w:rsidRPr="00EB7CF5">
              <w:rPr>
                <w:rFonts w:ascii="宋体" w:hAnsi="宋体" w:hint="eastAsia"/>
                <w:sz w:val="24"/>
              </w:rPr>
              <w:t>＜2.0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/>
            <w:vAlign w:val="center"/>
          </w:tcPr>
          <w:p w:rsidR="00DF379E" w:rsidRDefault="00DF379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 w:hint="eastAsia"/>
                <w:sz w:val="24"/>
              </w:rPr>
              <w:t>T75系列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浙江保利/塞维拉</w:t>
            </w:r>
          </w:p>
        </w:tc>
        <w:tc>
          <w:tcPr>
            <w:tcW w:w="1629" w:type="dxa"/>
          </w:tcPr>
          <w:p w:rsidR="00DF379E" w:rsidRPr="00EB7CF5" w:rsidRDefault="00880E3C">
            <w:pPr>
              <w:ind w:rightChars="15" w:right="31"/>
              <w:jc w:val="center"/>
              <w:rPr>
                <w:rFonts w:ascii="宋体" w:hAnsi="宋体"/>
                <w:sz w:val="24"/>
              </w:rPr>
            </w:pPr>
            <w:r w:rsidRPr="00EB7CF5">
              <w:rPr>
                <w:rFonts w:ascii="宋体" w:hAnsi="宋体" w:hint="eastAsia"/>
                <w:sz w:val="24"/>
              </w:rPr>
              <w:t>2.0≤V≤2.5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钢丝绳</w:t>
            </w:r>
          </w:p>
        </w:tc>
        <w:tc>
          <w:tcPr>
            <w:tcW w:w="2668" w:type="dxa"/>
            <w:vMerge w:val="restart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Φ10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ind w:leftChars="-120" w:rightChars="-82" w:right="-172" w:hangingChars="105" w:hanging="2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无锡通用/神王</w:t>
            </w: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Merge/>
            <w:vAlign w:val="center"/>
          </w:tcPr>
          <w:p w:rsidR="00DF379E" w:rsidRDefault="00DF379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68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固丝德夫沃夫</w:t>
            </w:r>
            <w:proofErr w:type="gramEnd"/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TVVB/RVV系列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上海贝恩科/杭州森源/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苏州富美达/浙江弘达</w:t>
            </w: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 w:val="restart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655" w:type="dxa"/>
            <w:gridSpan w:val="4"/>
            <w:vAlign w:val="center"/>
          </w:tcPr>
          <w:p w:rsidR="00DF379E" w:rsidRDefault="00880E3C">
            <w:pPr>
              <w:tabs>
                <w:tab w:val="left" w:pos="1500"/>
                <w:tab w:val="left" w:pos="2205"/>
                <w:tab w:val="left" w:pos="8505"/>
                <w:tab w:val="right" w:pos="10156"/>
              </w:tabs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highlight w:val="lightGray"/>
              </w:rPr>
              <w:t>安全部件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限速器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PB系列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</w:t>
            </w: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安全钳</w:t>
            </w:r>
          </w:p>
        </w:tc>
        <w:tc>
          <w:tcPr>
            <w:tcW w:w="266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AQ系列</w:t>
            </w:r>
          </w:p>
        </w:tc>
        <w:tc>
          <w:tcPr>
            <w:tcW w:w="2678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宁波宏大/石家庄通安</w:t>
            </w:r>
          </w:p>
        </w:tc>
        <w:tc>
          <w:tcPr>
            <w:tcW w:w="1629" w:type="dxa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缓冲器</w:t>
            </w:r>
          </w:p>
        </w:tc>
        <w:tc>
          <w:tcPr>
            <w:tcW w:w="266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OB系列/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YH系列/LD系列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宁波宏大/宁波安迅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石家庄通安/上海绿盾</w:t>
            </w:r>
          </w:p>
        </w:tc>
        <w:tc>
          <w:tcPr>
            <w:tcW w:w="1629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1.0m/s</w:t>
            </w:r>
          </w:p>
        </w:tc>
      </w:tr>
      <w:tr w:rsidR="00DF379E">
        <w:trPr>
          <w:trHeight w:val="340"/>
        </w:trPr>
        <w:tc>
          <w:tcPr>
            <w:tcW w:w="594" w:type="dxa"/>
            <w:vMerge/>
            <w:vAlign w:val="center"/>
          </w:tcPr>
          <w:p w:rsidR="00DF379E" w:rsidRDefault="00DF3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DF379E" w:rsidRDefault="00880E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缓冲器</w:t>
            </w:r>
          </w:p>
        </w:tc>
        <w:tc>
          <w:tcPr>
            <w:tcW w:w="266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OB系列/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YH系列</w:t>
            </w:r>
          </w:p>
        </w:tc>
        <w:tc>
          <w:tcPr>
            <w:tcW w:w="2678" w:type="dxa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宁波宏大/宁波安迅</w:t>
            </w:r>
          </w:p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石家庄通安</w:t>
            </w:r>
          </w:p>
        </w:tc>
        <w:tc>
          <w:tcPr>
            <w:tcW w:w="1629" w:type="dxa"/>
            <w:vAlign w:val="center"/>
          </w:tcPr>
          <w:p w:rsidR="00DF379E" w:rsidRDefault="00880E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＞1.0m/s</w:t>
            </w:r>
          </w:p>
        </w:tc>
      </w:tr>
    </w:tbl>
    <w:p w:rsidR="00DF379E" w:rsidRDefault="00DF379E"/>
    <w:p w:rsidR="00DF379E" w:rsidRDefault="00DF379E">
      <w:pPr>
        <w:pStyle w:val="a5"/>
        <w:jc w:val="left"/>
        <w:rPr>
          <w:rFonts w:ascii="宋体" w:hAnsi="宋体" w:cs="宋体"/>
        </w:rPr>
      </w:pPr>
    </w:p>
    <w:p w:rsidR="00EB7CF5" w:rsidRDefault="00EB7CF5" w:rsidP="00EB7CF5"/>
    <w:p w:rsidR="00EB7CF5" w:rsidRPr="00EB7CF5" w:rsidRDefault="00EB7CF5" w:rsidP="00EB7CF5"/>
    <w:p w:rsidR="00DF379E" w:rsidRDefault="00880E3C">
      <w:pPr>
        <w:pStyle w:val="a5"/>
        <w:jc w:val="left"/>
      </w:pPr>
      <w:bookmarkStart w:id="3" w:name="_Toc1151"/>
      <w:r>
        <w:rPr>
          <w:rFonts w:ascii="宋体" w:hAnsi="宋体" w:cs="宋体" w:hint="eastAsia"/>
        </w:rPr>
        <w:lastRenderedPageBreak/>
        <w:t>4、电梯功能说明</w:t>
      </w:r>
      <w:bookmarkEnd w:id="3"/>
    </w:p>
    <w:p w:rsidR="00DF379E" w:rsidRDefault="00880E3C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基本功能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0"/>
        <w:gridCol w:w="4443"/>
      </w:tblGrid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1</w:t>
            </w:r>
            <w:r>
              <w:rPr>
                <w:rFonts w:ascii="黑体"/>
                <w:sz w:val="24"/>
              </w:rPr>
              <w:t>.</w:t>
            </w:r>
            <w:proofErr w:type="gramStart"/>
            <w:r>
              <w:rPr>
                <w:rFonts w:ascii="黑体" w:hint="eastAsia"/>
                <w:sz w:val="24"/>
              </w:rPr>
              <w:t>集选控制</w:t>
            </w:r>
            <w:proofErr w:type="gramEnd"/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/>
                <w:sz w:val="24"/>
              </w:rPr>
              <w:t>2.</w:t>
            </w:r>
            <w:r>
              <w:rPr>
                <w:rFonts w:ascii="黑体" w:hint="eastAsia"/>
                <w:sz w:val="24"/>
              </w:rPr>
              <w:t>司机控制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/>
                <w:sz w:val="24"/>
              </w:rPr>
              <w:t>3.</w:t>
            </w:r>
            <w:r>
              <w:rPr>
                <w:rFonts w:ascii="黑体" w:hint="eastAsia"/>
                <w:sz w:val="24"/>
              </w:rPr>
              <w:t>满载直驶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/>
                <w:sz w:val="24"/>
              </w:rPr>
              <w:t>4.</w:t>
            </w:r>
            <w:proofErr w:type="gramStart"/>
            <w:r>
              <w:rPr>
                <w:rFonts w:ascii="黑体" w:hint="eastAsia"/>
                <w:sz w:val="24"/>
              </w:rPr>
              <w:t>本层厅外开门</w:t>
            </w:r>
            <w:proofErr w:type="gramEnd"/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/>
                <w:sz w:val="24"/>
              </w:rPr>
              <w:t>5.</w:t>
            </w:r>
            <w:r>
              <w:rPr>
                <w:rFonts w:ascii="黑体" w:hint="eastAsia"/>
                <w:sz w:val="24"/>
              </w:rPr>
              <w:t>厅门、轿门时间分别控制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6</w:t>
            </w:r>
            <w:r>
              <w:rPr>
                <w:rFonts w:ascii="黑体"/>
                <w:sz w:val="24"/>
              </w:rPr>
              <w:t>.</w:t>
            </w:r>
            <w:r>
              <w:rPr>
                <w:rFonts w:ascii="黑体" w:hint="eastAsia"/>
                <w:sz w:val="24"/>
              </w:rPr>
              <w:t>层高自动测定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7</w:t>
            </w:r>
            <w:r>
              <w:rPr>
                <w:rFonts w:ascii="黑体"/>
                <w:sz w:val="24"/>
              </w:rPr>
              <w:t>.</w:t>
            </w:r>
            <w:r>
              <w:rPr>
                <w:rFonts w:ascii="黑体" w:hint="eastAsia"/>
                <w:sz w:val="24"/>
              </w:rPr>
              <w:t>轿内误指令消除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8</w:t>
            </w:r>
            <w:r>
              <w:rPr>
                <w:rFonts w:ascii="黑体"/>
                <w:sz w:val="24"/>
              </w:rPr>
              <w:t>.</w:t>
            </w:r>
            <w:r>
              <w:rPr>
                <w:rFonts w:ascii="黑体" w:hint="eastAsia"/>
                <w:sz w:val="24"/>
              </w:rPr>
              <w:t>直接停靠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9</w:t>
            </w:r>
            <w:r>
              <w:rPr>
                <w:rFonts w:ascii="黑体"/>
                <w:sz w:val="24"/>
              </w:rPr>
              <w:t>.</w:t>
            </w:r>
            <w:r>
              <w:rPr>
                <w:rFonts w:ascii="黑体" w:hint="eastAsia"/>
                <w:sz w:val="24"/>
              </w:rPr>
              <w:t>超载保护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10.</w:t>
            </w:r>
            <w:r>
              <w:rPr>
                <w:rFonts w:ascii="黑体" w:hint="eastAsia"/>
                <w:sz w:val="24"/>
              </w:rPr>
              <w:t>超载报警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11.</w:t>
            </w:r>
            <w:r>
              <w:rPr>
                <w:rFonts w:ascii="黑体" w:hint="eastAsia"/>
                <w:sz w:val="24"/>
              </w:rPr>
              <w:t>光</w:t>
            </w:r>
            <w:proofErr w:type="gramStart"/>
            <w:r>
              <w:rPr>
                <w:rFonts w:ascii="黑体" w:hint="eastAsia"/>
                <w:sz w:val="24"/>
              </w:rPr>
              <w:t>幕保护</w:t>
            </w:r>
            <w:proofErr w:type="gramEnd"/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12.</w:t>
            </w:r>
            <w:r>
              <w:rPr>
                <w:rFonts w:ascii="黑体" w:hint="eastAsia"/>
                <w:sz w:val="24"/>
              </w:rPr>
              <w:t>运行时间保护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13.</w:t>
            </w:r>
            <w:r>
              <w:rPr>
                <w:rFonts w:ascii="黑体" w:hint="eastAsia"/>
                <w:sz w:val="24"/>
              </w:rPr>
              <w:t>关门受阻保护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14.</w:t>
            </w:r>
            <w:r>
              <w:rPr>
                <w:rFonts w:ascii="黑体" w:hint="eastAsia"/>
                <w:sz w:val="24"/>
              </w:rPr>
              <w:t>位置异常自动校正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15.</w:t>
            </w:r>
            <w:r>
              <w:rPr>
                <w:rFonts w:ascii="黑体" w:hint="eastAsia"/>
                <w:sz w:val="24"/>
              </w:rPr>
              <w:t>故障自动检测和存储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16.</w:t>
            </w:r>
            <w:r>
              <w:rPr>
                <w:rFonts w:ascii="黑体" w:hint="eastAsia"/>
                <w:sz w:val="24"/>
              </w:rPr>
              <w:t>抱闸监控功能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17.</w:t>
            </w:r>
            <w:r>
              <w:rPr>
                <w:rFonts w:ascii="黑体" w:hint="eastAsia"/>
                <w:sz w:val="24"/>
              </w:rPr>
              <w:t>手动盘车保护功能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18.</w:t>
            </w:r>
            <w:r>
              <w:rPr>
                <w:rFonts w:ascii="黑体" w:hint="eastAsia"/>
                <w:sz w:val="24"/>
              </w:rPr>
              <w:t>接触器反馈检测功能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19.</w:t>
            </w:r>
            <w:r>
              <w:rPr>
                <w:rFonts w:ascii="黑体" w:hint="eastAsia"/>
                <w:sz w:val="24"/>
              </w:rPr>
              <w:t>终端楼层保护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20.</w:t>
            </w:r>
            <w:r>
              <w:rPr>
                <w:rFonts w:ascii="黑体" w:hint="eastAsia"/>
                <w:sz w:val="24"/>
              </w:rPr>
              <w:t>检修操作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21.</w:t>
            </w:r>
            <w:r>
              <w:rPr>
                <w:rFonts w:ascii="黑体" w:hint="eastAsia"/>
                <w:sz w:val="24"/>
              </w:rPr>
              <w:t>五方通话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22.</w:t>
            </w:r>
            <w:r>
              <w:rPr>
                <w:rFonts w:ascii="黑体" w:hint="eastAsia"/>
                <w:sz w:val="24"/>
              </w:rPr>
              <w:t>自动返基站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23.</w:t>
            </w:r>
            <w:proofErr w:type="gramStart"/>
            <w:r>
              <w:rPr>
                <w:rFonts w:ascii="黑体" w:hint="eastAsia"/>
                <w:sz w:val="24"/>
              </w:rPr>
              <w:t>自动泊梯</w:t>
            </w:r>
            <w:proofErr w:type="gramEnd"/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24.</w:t>
            </w:r>
            <w:r>
              <w:rPr>
                <w:rFonts w:ascii="黑体" w:hint="eastAsia"/>
                <w:sz w:val="24"/>
              </w:rPr>
              <w:t>轿厢警铃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25.</w:t>
            </w:r>
            <w:r>
              <w:rPr>
                <w:rFonts w:ascii="黑体" w:hint="eastAsia"/>
                <w:sz w:val="24"/>
              </w:rPr>
              <w:t>消防返回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26.</w:t>
            </w:r>
            <w:r>
              <w:rPr>
                <w:rFonts w:ascii="黑体" w:hint="eastAsia"/>
                <w:sz w:val="24"/>
              </w:rPr>
              <w:t>故障自救功能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27.</w:t>
            </w:r>
            <w:r>
              <w:rPr>
                <w:rFonts w:ascii="黑体" w:hint="eastAsia"/>
                <w:sz w:val="24"/>
              </w:rPr>
              <w:t>开门异常</w:t>
            </w:r>
            <w:proofErr w:type="gramStart"/>
            <w:r>
              <w:rPr>
                <w:rFonts w:ascii="黑体" w:hint="eastAsia"/>
                <w:sz w:val="24"/>
              </w:rPr>
              <w:t>手动选层自救</w:t>
            </w:r>
            <w:proofErr w:type="gramEnd"/>
            <w:r>
              <w:rPr>
                <w:rFonts w:ascii="黑体" w:hint="eastAsia"/>
                <w:sz w:val="24"/>
              </w:rPr>
              <w:t>功能</w:t>
            </w:r>
          </w:p>
        </w:tc>
        <w:tc>
          <w:tcPr>
            <w:tcW w:w="4443" w:type="dxa"/>
            <w:vAlign w:val="center"/>
          </w:tcPr>
          <w:p w:rsidR="00DF379E" w:rsidRDefault="00880E3C">
            <w:r>
              <w:rPr>
                <w:rFonts w:ascii="黑体" w:hint="eastAsia"/>
                <w:sz w:val="24"/>
              </w:rPr>
              <w:t>28.</w:t>
            </w:r>
            <w:r>
              <w:rPr>
                <w:rFonts w:ascii="黑体" w:hint="eastAsia"/>
                <w:sz w:val="24"/>
              </w:rPr>
              <w:t>到站钟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29.</w:t>
            </w:r>
            <w:r>
              <w:rPr>
                <w:rFonts w:ascii="黑体" w:hint="eastAsia"/>
                <w:sz w:val="24"/>
              </w:rPr>
              <w:t>运行次数显示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30.</w:t>
            </w:r>
            <w:r>
              <w:rPr>
                <w:rFonts w:ascii="黑体" w:hint="eastAsia"/>
                <w:sz w:val="24"/>
              </w:rPr>
              <w:t>运行时间显示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31.</w:t>
            </w:r>
            <w:proofErr w:type="gramStart"/>
            <w:r>
              <w:rPr>
                <w:rFonts w:ascii="黑体" w:hint="eastAsia"/>
                <w:sz w:val="24"/>
              </w:rPr>
              <w:t>轿内及厅外</w:t>
            </w:r>
            <w:proofErr w:type="gramEnd"/>
            <w:r>
              <w:rPr>
                <w:rFonts w:ascii="黑体" w:hint="eastAsia"/>
                <w:sz w:val="24"/>
              </w:rPr>
              <w:t>数码显示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32.</w:t>
            </w:r>
            <w:r>
              <w:rPr>
                <w:rFonts w:ascii="黑体" w:hint="eastAsia"/>
                <w:sz w:val="24"/>
              </w:rPr>
              <w:t>轿内</w:t>
            </w:r>
            <w:proofErr w:type="gramStart"/>
            <w:r>
              <w:rPr>
                <w:rFonts w:ascii="黑体" w:hint="eastAsia"/>
                <w:sz w:val="24"/>
              </w:rPr>
              <w:t>及厅外方向显示</w:t>
            </w:r>
            <w:proofErr w:type="gramEnd"/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33.</w:t>
            </w:r>
            <w:r>
              <w:rPr>
                <w:rFonts w:ascii="黑体" w:hint="eastAsia"/>
                <w:sz w:val="24"/>
              </w:rPr>
              <w:t>检修状态提醒显示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34.</w:t>
            </w:r>
            <w:r>
              <w:rPr>
                <w:rFonts w:ascii="黑体" w:hint="eastAsia"/>
                <w:sz w:val="24"/>
              </w:rPr>
              <w:t>报警装置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35.</w:t>
            </w:r>
            <w:r>
              <w:rPr>
                <w:rFonts w:ascii="黑体" w:hint="eastAsia"/>
                <w:sz w:val="24"/>
              </w:rPr>
              <w:t>应急照明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36.</w:t>
            </w:r>
            <w:r>
              <w:rPr>
                <w:rFonts w:ascii="黑体" w:hint="eastAsia"/>
                <w:sz w:val="24"/>
              </w:rPr>
              <w:t>机房紧急电动运行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37.</w:t>
            </w:r>
            <w:r>
              <w:rPr>
                <w:rFonts w:ascii="黑体" w:hint="eastAsia"/>
                <w:sz w:val="24"/>
              </w:rPr>
              <w:t>轿内风扇自动控制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38.</w:t>
            </w:r>
            <w:r>
              <w:rPr>
                <w:rFonts w:ascii="黑体" w:hint="eastAsia"/>
                <w:sz w:val="24"/>
              </w:rPr>
              <w:t>轿内照明自动控制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39.</w:t>
            </w:r>
            <w:r>
              <w:rPr>
                <w:rFonts w:ascii="黑体" w:hint="eastAsia"/>
                <w:sz w:val="24"/>
              </w:rPr>
              <w:t>停止服务锁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40.</w:t>
            </w:r>
            <w:r>
              <w:rPr>
                <w:rFonts w:ascii="黑体" w:hint="eastAsia"/>
                <w:sz w:val="24"/>
              </w:rPr>
              <w:t>并联控制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41.</w:t>
            </w:r>
            <w:r>
              <w:rPr>
                <w:rFonts w:ascii="黑体" w:hint="eastAsia"/>
                <w:sz w:val="24"/>
              </w:rPr>
              <w:t>超速保护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42.</w:t>
            </w:r>
            <w:r>
              <w:rPr>
                <w:rFonts w:ascii="黑体" w:hint="eastAsia"/>
                <w:sz w:val="24"/>
              </w:rPr>
              <w:t>轿厢意外移动保护功能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43.</w:t>
            </w:r>
            <w:r>
              <w:rPr>
                <w:rFonts w:ascii="黑体" w:hint="eastAsia"/>
                <w:sz w:val="24"/>
              </w:rPr>
              <w:t>反向指令自动消除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jc w:val="left"/>
              <w:rPr>
                <w:color w:val="E36C0A"/>
              </w:rPr>
            </w:pPr>
            <w:r>
              <w:rPr>
                <w:rFonts w:ascii="黑体" w:hint="eastAsia"/>
                <w:sz w:val="24"/>
              </w:rPr>
              <w:t>44.</w:t>
            </w:r>
            <w:r>
              <w:rPr>
                <w:rFonts w:ascii="黑体" w:hint="eastAsia"/>
                <w:sz w:val="24"/>
              </w:rPr>
              <w:t>速度分时运行功能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45.</w:t>
            </w:r>
            <w:r>
              <w:rPr>
                <w:rFonts w:ascii="黑体" w:hint="eastAsia"/>
                <w:sz w:val="24"/>
              </w:rPr>
              <w:t>轿内到站显示闪烁提示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46.</w:t>
            </w:r>
            <w:r>
              <w:rPr>
                <w:rFonts w:ascii="黑体" w:hint="eastAsia"/>
                <w:sz w:val="24"/>
              </w:rPr>
              <w:t>按钮卡死自动报警提示和屏蔽功能</w:t>
            </w:r>
          </w:p>
        </w:tc>
      </w:tr>
      <w:tr w:rsidR="00DF379E">
        <w:tc>
          <w:tcPr>
            <w:tcW w:w="4590" w:type="dxa"/>
            <w:vAlign w:val="center"/>
          </w:tcPr>
          <w:p w:rsidR="00DF379E" w:rsidRDefault="00880E3C">
            <w:pPr>
              <w:spacing w:before="120" w:after="120" w:line="300" w:lineRule="exac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lastRenderedPageBreak/>
              <w:t>47.</w:t>
            </w:r>
            <w:r>
              <w:rPr>
                <w:rFonts w:ascii="黑体" w:hint="eastAsia"/>
                <w:sz w:val="24"/>
              </w:rPr>
              <w:t>门锁旁路强制检修功能</w:t>
            </w:r>
          </w:p>
        </w:tc>
        <w:tc>
          <w:tcPr>
            <w:tcW w:w="4443" w:type="dxa"/>
            <w:vAlign w:val="center"/>
          </w:tcPr>
          <w:p w:rsidR="00DF379E" w:rsidRDefault="00880E3C">
            <w:pPr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48.</w:t>
            </w:r>
            <w:r>
              <w:rPr>
                <w:rFonts w:ascii="黑体" w:hint="eastAsia"/>
                <w:sz w:val="24"/>
              </w:rPr>
              <w:t>独特蜂鸣提示功能</w:t>
            </w:r>
          </w:p>
        </w:tc>
      </w:tr>
    </w:tbl>
    <w:p w:rsidR="00DF379E" w:rsidRDefault="00880E3C" w:rsidP="00BC114B">
      <w:pPr>
        <w:adjustRightInd w:val="0"/>
        <w:spacing w:beforeLines="50" w:afterLines="50" w:line="360" w:lineRule="atLeast"/>
        <w:jc w:val="center"/>
        <w:textAlignment w:val="baseline"/>
        <w:outlineLvl w:val="0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二、电梯的技术规格和要求表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"/>
        <w:gridCol w:w="1411"/>
        <w:gridCol w:w="3022"/>
        <w:gridCol w:w="4349"/>
      </w:tblGrid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招标技术规格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投标商响应规格</w:t>
            </w:r>
          </w:p>
        </w:tc>
      </w:tr>
      <w:tr w:rsidR="00DF379E">
        <w:trPr>
          <w:trHeight w:val="525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*1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电梯类型和数量：投标商按《电梯设备土建设计参数及数量统计表》响应。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响应，本次投标电梯类型：HD2000-EMAC；数量：1台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一、土建设计要求及主要技术规格及响应情况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电梯速度：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见《电梯设备土建设计参数及数量统计表》响应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响应，电梯速度：1.0m/s。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1.2</w:t>
            </w:r>
          </w:p>
        </w:tc>
        <w:tc>
          <w:tcPr>
            <w:tcW w:w="4433" w:type="dxa"/>
            <w:gridSpan w:val="2"/>
            <w:tcBorders>
              <w:bottom w:val="single" w:sz="4" w:space="0" w:color="auto"/>
            </w:tcBorders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井道净尺寸（宽×深）：（详见《电梯设备土建设计参数及数量统计表》）</w:t>
            </w:r>
          </w:p>
        </w:tc>
        <w:tc>
          <w:tcPr>
            <w:tcW w:w="4349" w:type="dxa"/>
            <w:tcBorders>
              <w:bottom w:val="single" w:sz="4" w:space="0" w:color="auto"/>
            </w:tcBorders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响应，（详见《电梯设备土建设计参数及数量统计表》）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DF379E">
        <w:trPr>
          <w:trHeight w:val="628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载重量：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见《电梯设备土建设计参数及数量统计表》响应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响应，载重量：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1350kg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1.4</w:t>
            </w:r>
          </w:p>
        </w:tc>
        <w:tc>
          <w:tcPr>
            <w:tcW w:w="4433" w:type="dxa"/>
            <w:gridSpan w:val="2"/>
            <w:tcBorders>
              <w:bottom w:val="single" w:sz="4" w:space="0" w:color="auto"/>
            </w:tcBorders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电梯停靠站数：见《电梯设备土建设计参数及数量统计表》响应</w:t>
            </w:r>
          </w:p>
        </w:tc>
        <w:tc>
          <w:tcPr>
            <w:tcW w:w="4349" w:type="dxa"/>
            <w:tcBorders>
              <w:bottom w:val="single" w:sz="4" w:space="0" w:color="auto"/>
            </w:tcBorders>
            <w:vAlign w:val="center"/>
          </w:tcPr>
          <w:p w:rsidR="00DF379E" w:rsidRDefault="00880E3C">
            <w:pPr>
              <w:tabs>
                <w:tab w:val="left" w:pos="953"/>
              </w:tabs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响应，电梯停靠站数：5/5/5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1.5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底坑深度：（详见《电梯设备土建设计参数及数量统计表》）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响应，底坑深度：1750mm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1.6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门洞尺寸：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投标商按《电梯设备土建设计参数及数量统计表》响应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响应，门洞尺寸（宽×高）：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1200</w:t>
            </w:r>
            <w:r>
              <w:rPr>
                <w:rFonts w:ascii="宋体" w:hAnsi="宋体" w:cs="宋体" w:hint="eastAsia"/>
                <w:sz w:val="24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×2200</w:t>
            </w:r>
            <w:r>
              <w:rPr>
                <w:rFonts w:ascii="宋体" w:hAnsi="宋体" w:cs="宋体" w:hint="eastAsia"/>
                <w:sz w:val="24"/>
              </w:rPr>
              <w:t>mm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1.7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开门尺寸：（宽*高）投标商提供尺寸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响应，开门尺寸（宽×高）：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1100</w:t>
            </w:r>
            <w:r>
              <w:rPr>
                <w:rFonts w:ascii="宋体" w:hAnsi="宋体" w:cs="宋体" w:hint="eastAsia"/>
                <w:sz w:val="24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*2100</w:t>
            </w:r>
            <w:r>
              <w:rPr>
                <w:rFonts w:ascii="宋体" w:hAnsi="宋体" w:cs="宋体" w:hint="eastAsia"/>
                <w:sz w:val="24"/>
              </w:rPr>
              <w:t>mm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1.8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提升高度必须按《电梯设备土建设计参数及数量统计表》响应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响应，提升高度：17100mm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1.9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冲顶高度：投标商按《电梯设备土建设计参数及数量统计表》响应。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响应，冲顶高度：4000mm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1.10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机房情况：投标商按《电梯设备土建设计参数及数量统计表》响应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响应，机房情况：详见《电梯设备土建设计参数及数量统计响应表》。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二、电梯轿厢和厅门入口装饰要求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开门方式：自动中分式。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响应，开门方式：自动中分式。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2.2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轿厢内净尺寸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1、装修后轿厢净高度（≥2300mm）。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2、轿厢的“宽×深”尺寸按井道净尺寸的最大值制造，尽量做到最大。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响应，装修后轿厢净高度详见参数表。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轿厢内净尺寸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（宽×深）：尽量做到最大</w:t>
            </w:r>
          </w:p>
        </w:tc>
      </w:tr>
      <w:tr w:rsidR="00DF379E">
        <w:trPr>
          <w:trHeight w:val="104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*2.3</w:t>
            </w:r>
          </w:p>
        </w:tc>
        <w:tc>
          <w:tcPr>
            <w:tcW w:w="1411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轿厢、轿门材质</w:t>
            </w:r>
          </w:p>
        </w:tc>
        <w:tc>
          <w:tcPr>
            <w:tcW w:w="3022" w:type="dxa"/>
            <w:vAlign w:val="center"/>
          </w:tcPr>
          <w:p w:rsidR="00DF379E" w:rsidRDefault="00880E3C" w:rsidP="00645E04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采用抗指纹发纹不锈钢,不锈钢板厚度≥1.</w:t>
            </w:r>
            <w:r w:rsidR="00645E04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mm。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轿厢、轿门采用抗指纹发纹不锈钢,不锈钢板厚度1.5mm</w:t>
            </w:r>
          </w:p>
        </w:tc>
      </w:tr>
      <w:tr w:rsidR="00DF379E">
        <w:trPr>
          <w:trHeight w:val="470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*2.4</w:t>
            </w:r>
          </w:p>
        </w:tc>
        <w:tc>
          <w:tcPr>
            <w:tcW w:w="1411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厅门、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门套</w:t>
            </w:r>
            <w:proofErr w:type="gramEnd"/>
          </w:p>
        </w:tc>
        <w:tc>
          <w:tcPr>
            <w:tcW w:w="3022" w:type="dxa"/>
            <w:vAlign w:val="center"/>
          </w:tcPr>
          <w:p w:rsidR="00DF379E" w:rsidRDefault="00880E3C" w:rsidP="00645E04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楼层均为抗指纹发纹不锈钢，不锈钢板厚度≥1.</w:t>
            </w:r>
            <w:r w:rsidR="00645E04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mm。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楼层均为抗指纹发纹不锈钢，不锈钢板厚度1.5mm。</w:t>
            </w:r>
          </w:p>
        </w:tc>
      </w:tr>
      <w:tr w:rsidR="00DF379E">
        <w:trPr>
          <w:trHeight w:val="2074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2.5</w:t>
            </w:r>
          </w:p>
        </w:tc>
        <w:tc>
          <w:tcPr>
            <w:tcW w:w="1411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轿厢顶</w:t>
            </w:r>
          </w:p>
        </w:tc>
        <w:tc>
          <w:tcPr>
            <w:tcW w:w="3022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豪华装饰</w:t>
            </w:r>
            <w:r>
              <w:rPr>
                <w:rFonts w:ascii="宋体" w:hAnsi="宋体" w:cs="宋体" w:hint="eastAsia"/>
                <w:sz w:val="24"/>
              </w:rPr>
              <w:t>含LED灯光和通风扇（手动和自动控制），轿厢顶留有摄像机孔，投标方自荐彩色单页和样本说明供业主选择。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响应，轿厢顶：豪华装饰</w:t>
            </w:r>
            <w:r>
              <w:rPr>
                <w:rFonts w:ascii="宋体" w:hAnsi="宋体" w:cs="宋体" w:hint="eastAsia"/>
                <w:sz w:val="24"/>
              </w:rPr>
              <w:t>含LED灯光和通风扇（手动和自动控制），轿厢顶留有摄像机孔。</w:t>
            </w:r>
          </w:p>
        </w:tc>
      </w:tr>
      <w:tr w:rsidR="00DF379E">
        <w:trPr>
          <w:trHeight w:val="1373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2.6</w:t>
            </w:r>
          </w:p>
        </w:tc>
        <w:tc>
          <w:tcPr>
            <w:tcW w:w="1411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轿厢及轿厢操作盘</w:t>
            </w:r>
          </w:p>
        </w:tc>
        <w:tc>
          <w:tcPr>
            <w:tcW w:w="3022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采用旋转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体式操纵箱，装有微动发光二极管照明的楼层按钮及楼层显示不小于8寸的彩色液晶显示器，抗指纹发纹不锈钢面板。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轿厢及轿厢操作盘：采用旋转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体式操纵箱，装有微动发光二极管照明的楼层按钮及楼层显示为8寸的彩色液晶显示器，抗指纹发纹不锈钢面板。</w:t>
            </w:r>
          </w:p>
        </w:tc>
      </w:tr>
      <w:tr w:rsidR="00DF379E">
        <w:trPr>
          <w:trHeight w:val="413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2.7</w:t>
            </w:r>
          </w:p>
        </w:tc>
        <w:tc>
          <w:tcPr>
            <w:tcW w:w="1411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门厅按钮及显示</w:t>
            </w:r>
          </w:p>
        </w:tc>
        <w:tc>
          <w:tcPr>
            <w:tcW w:w="3022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每层均有楼层液晶显示、运行方向显示、装有微动发光二极管照明的楼层不锈钢按钮，楼层显示器与按钮装在同一不锈钢面板上，面板采用抗指纹发纹不锈钢。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门厅按钮及显示：每层均有楼层液晶显示、运行方向显示、装有微动发光二极管照明的楼层不锈钢按钮，楼层显示器与按钮装在同一不锈钢面板上，面板采用抗指纹发纹不锈钢。</w:t>
            </w:r>
          </w:p>
        </w:tc>
      </w:tr>
      <w:tr w:rsidR="00DF379E">
        <w:trPr>
          <w:trHeight w:val="1723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2.8</w:t>
            </w:r>
          </w:p>
        </w:tc>
        <w:tc>
          <w:tcPr>
            <w:tcW w:w="1411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轿厢地面</w:t>
            </w:r>
          </w:p>
        </w:tc>
        <w:tc>
          <w:tcPr>
            <w:tcW w:w="3022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轿厢内部地面为防滑大理石地板，样式经项目业主确认，费用已包含在本次投标总价中。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轿厢内部地面为防滑大理石地板或PVC地胶，样式经项目业主确认。</w:t>
            </w:r>
          </w:p>
        </w:tc>
      </w:tr>
      <w:tr w:rsidR="00DF379E">
        <w:trPr>
          <w:trHeight w:val="210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2.9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轿厢门坎：铝合金。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响应，轿厢门坎：铝合金。</w:t>
            </w:r>
          </w:p>
        </w:tc>
      </w:tr>
      <w:tr w:rsidR="00DF379E">
        <w:trPr>
          <w:trHeight w:val="2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2.10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厅门坎：铝合金。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响应，厅门坎：铝合金。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2.11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电梯轿厢均需安装单冷空调，注明品牌。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响应，电梯轿厢均安装单冷空调，空调品牌为菱伴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2.12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电梯轿厢内均需增加IC卡身份识别功能。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响应，电梯轿厢内均增加IC卡身份识别功能。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2.13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电梯装饰可以在电梯样本内任选，相关费用应包含在投标报价中，中标后不予调整。样本作为投标文件的一部分。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电梯装饰可以在电梯样本内任选，相关费用应包含在投标报价中，中标后不予调整。样本作为投标文件的一部分。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2.14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招标人在签订合同时有变更轿厢内净</w:t>
            </w:r>
            <w:r>
              <w:rPr>
                <w:rFonts w:ascii="宋体" w:hAnsi="宋体" w:cs="宋体" w:hint="eastAsia"/>
                <w:sz w:val="24"/>
              </w:rPr>
              <w:t>高度和轿</w:t>
            </w:r>
            <w:r>
              <w:rPr>
                <w:rFonts w:ascii="宋体" w:hAnsi="宋体" w:cs="宋体" w:hint="eastAsia"/>
                <w:bCs/>
                <w:sz w:val="24"/>
              </w:rPr>
              <w:t>厢</w:t>
            </w:r>
            <w:r>
              <w:rPr>
                <w:rFonts w:ascii="宋体" w:hAnsi="宋体" w:cs="宋体" w:hint="eastAsia"/>
                <w:sz w:val="24"/>
              </w:rPr>
              <w:t>装饰要求的权力。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招标人在签订合同时有变更轿厢内净</w:t>
            </w:r>
            <w:r>
              <w:rPr>
                <w:rFonts w:ascii="宋体" w:hAnsi="宋体" w:cs="宋体" w:hint="eastAsia"/>
                <w:sz w:val="24"/>
              </w:rPr>
              <w:t>高度和轿</w:t>
            </w:r>
            <w:r>
              <w:rPr>
                <w:rFonts w:ascii="宋体" w:hAnsi="宋体" w:cs="宋体" w:hint="eastAsia"/>
                <w:bCs/>
                <w:sz w:val="24"/>
              </w:rPr>
              <w:t>厢</w:t>
            </w:r>
            <w:r>
              <w:rPr>
                <w:rFonts w:ascii="宋体" w:hAnsi="宋体" w:cs="宋体" w:hint="eastAsia"/>
                <w:sz w:val="24"/>
              </w:rPr>
              <w:t>装饰要求的权力。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三、系统要求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开门机系统：</w:t>
            </w:r>
            <w:r>
              <w:rPr>
                <w:rFonts w:ascii="宋体" w:hAnsi="宋体" w:cs="宋体" w:hint="eastAsia"/>
                <w:bCs/>
                <w:sz w:val="24"/>
              </w:rPr>
              <w:t>采用VVVF永磁同步门机控制系统</w:t>
            </w:r>
            <w:r>
              <w:rPr>
                <w:rFonts w:ascii="宋体" w:hAnsi="宋体" w:cs="宋体" w:hint="eastAsia"/>
                <w:sz w:val="24"/>
              </w:rPr>
              <w:t>，采用红外线光幕保护。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响应，开门机系统：采用VVVF门机控制系统，采用红外线光幕保护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束数为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>154束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驱动系统：交流变频变压控制系统（VVVF）。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响应，驱动系统：交流变频变压控制系统（VVVF）。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3.3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控制系统：多微机网络控制（即轿厢本身、轿厢操作盘、各层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站呼梯指示器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上均备有微电脑与控制柜主电脑一起构成网络控制系统）。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响应，控制系统：多微机网络控制（即轿厢本身、轿厢操作盘、各层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站呼梯指示器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上均备有微电脑与控制柜主电脑一起构成网络控制系统）。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四、基本功能及选配功能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门保护：</w:t>
            </w:r>
            <w:r>
              <w:rPr>
                <w:rFonts w:ascii="宋体" w:hAnsi="宋体" w:cs="宋体" w:hint="eastAsia"/>
                <w:sz w:val="24"/>
              </w:rPr>
              <w:t>红外线</w:t>
            </w:r>
            <w:r>
              <w:rPr>
                <w:rFonts w:ascii="宋体" w:hAnsi="宋体" w:cs="宋体" w:hint="eastAsia"/>
                <w:bCs/>
                <w:sz w:val="24"/>
              </w:rPr>
              <w:t>光幕保护，光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幕保护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应全覆盖。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响应，门保护：</w:t>
            </w:r>
            <w:r>
              <w:rPr>
                <w:rFonts w:ascii="宋体" w:hAnsi="宋体" w:cs="宋体" w:hint="eastAsia"/>
                <w:sz w:val="24"/>
              </w:rPr>
              <w:t>采用红外线光幕保护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束数为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>154束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轿厢、机房、轿顶、基坑及总控制室实现五方对讲通话。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</w:t>
            </w:r>
            <w:r>
              <w:rPr>
                <w:rFonts w:ascii="宋体" w:hAnsi="宋体" w:cs="宋体" w:hint="eastAsia"/>
                <w:bCs/>
                <w:sz w:val="24"/>
              </w:rPr>
              <w:t>轿厢、机房、轿顶、基坑及总控制室实现五方对讲通话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有和无司机服务：通过轿厢操纵箱上的开关、可使电梯操作方式有（和无）司机操作。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4.4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火灾时运转管制：每台电梯配有消防功</w:t>
            </w:r>
            <w:r>
              <w:rPr>
                <w:rFonts w:ascii="宋体" w:hAnsi="宋体" w:cs="宋体" w:hint="eastAsia"/>
                <w:sz w:val="24"/>
              </w:rPr>
              <w:lastRenderedPageBreak/>
              <w:t>能，消防开关启用后、所有的召唤即被取消、指定的电梯立即返回指定层站，停止运转。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4.5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防捣乱功能。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4.6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误操作修正功能:双击按钮可取消错误指令召唤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4.7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超重报警：轿厢超载时，蜂鸣器发出警告声，并停止于该层。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4.8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门异常检查装置：如果轿厢门在预定时间内应开而未开或未能完全开启、轿厢门会自动关闭、再应答其他呼叫、如果轿厢门在预定时间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内应关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而未能关闭时、将会重复关闭以便清除门槛上的障碍物。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73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4.9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电梯具有实际运行楼层选择控制功能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4.10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轿厢应急照明：停电时，充电式电池立即给应急灯供电。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基站返回：应答最后呼叫后，在设定的时间内，没有其他呼叫时、或在并联状态基站上没有其他轿厢停靠时，轿厢会自动返回基站。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1505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开关门时间自动调整：按照召唤是层站召唤、轿厢召唤或安全装置动作的区别、自动调整开门保持的时间。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轿厢照明、风扇自动关闭：在规定的时间内，没有召唤信号登记，轿厢内的照明灯、风扇会自动关停，以节约能源。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4.14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基站待机：返回基站后，自动开门（或关门）待机。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4.15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满载直驶。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4.16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安全停靠：如果电梯发生故障并停在楼层之间、或电梯到达目的楼层后，门不能完全打开，控制器将执行诊断检查，保证电梯安全系统正常后，将电梯门自行关闭、并驶往最近的楼层，将乘客放出。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4.17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故障自测功能。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响应，电梯具备此功能。</w:t>
            </w:r>
          </w:p>
        </w:tc>
      </w:tr>
      <w:tr w:rsidR="00DF379E">
        <w:trPr>
          <w:trHeight w:val="233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*4.18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轿厢顶部须预留监控摄像头接口（配专用视屏线及电源线），另须预留电话机接口，随行电缆中应带有视频电缆和电话线。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轿厢顶部预留监控摄像头接口（配专用视屏线及电源线），另须预留电话机接口，随行电缆中带有视频电缆和电话线。</w:t>
            </w:r>
          </w:p>
        </w:tc>
      </w:tr>
      <w:tr w:rsidR="00DF379E">
        <w:trPr>
          <w:trHeight w:val="1329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4.19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远程监控系统须符合宁波市人民政府第224号令《宁波市电梯安全管理办法》和宁波市质量技术监督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局甬质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特发【2016】21号《市质监局关于推进电梯远程监测系统建设的指导意见》要求，机房网络信号由招标人提供。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远程监控系统符合宁波市人民政府第224号令《宁波市电梯安全管理办法》和宁波市质量技术监督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局甬质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特发【2016】21号《市质监局关于推进电梯远程监测系统建设的指导意见》要求，机房网络信号由招标人提供。</w:t>
            </w:r>
          </w:p>
        </w:tc>
      </w:tr>
      <w:tr w:rsidR="00DF379E">
        <w:trPr>
          <w:trHeight w:val="1040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4.20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无障碍设置：残疾人操纵盘、盲文按钮、后壁中间采用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香槟金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镜面不锈钢和三侧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香槟金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不锈钢扶手。轿厢上、下运行及到达应有清晰显示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和报层音响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无障碍设置：残疾人操纵盘、盲文按钮、后壁中间采用抗指纹发纹不锈钢和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三侧抗指纹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发纹不锈钢扶手。轿厢上、下运行及到达应有清晰显示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和报层音响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DF379E">
        <w:trPr>
          <w:trHeight w:val="501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4.21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投标人认为有必要提供的其他功能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响应，优于招标文件要求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我司可</w:t>
            </w:r>
            <w:r>
              <w:rPr>
                <w:rFonts w:hAnsi="宋体" w:cs="宋体" w:hint="eastAsia"/>
                <w:b/>
                <w:bCs/>
                <w:sz w:val="24"/>
                <w:u w:val="single"/>
              </w:rPr>
              <w:t>免费增加提供以下12项功能</w:t>
            </w:r>
          </w:p>
          <w:p w:rsidR="00DF379E" w:rsidRDefault="00880E3C">
            <w:pPr>
              <w:pStyle w:val="a4"/>
              <w:numPr>
                <w:ilvl w:val="0"/>
                <w:numId w:val="4"/>
              </w:numPr>
              <w:spacing w:line="440" w:lineRule="exact"/>
              <w:rPr>
                <w:rFonts w:hAnsi="宋体" w:cs="宋体"/>
                <w:sz w:val="24"/>
              </w:rPr>
            </w:pPr>
            <w:proofErr w:type="gramStart"/>
            <w:r>
              <w:rPr>
                <w:rFonts w:hAnsi="宋体" w:cs="宋体" w:hint="eastAsia"/>
                <w:sz w:val="24"/>
              </w:rPr>
              <w:t>本层厅外开门</w:t>
            </w:r>
            <w:proofErr w:type="gramEnd"/>
            <w:r>
              <w:rPr>
                <w:rFonts w:hAnsi="宋体" w:cs="宋体" w:hint="eastAsia"/>
                <w:sz w:val="24"/>
              </w:rPr>
              <w:t>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2、厅外、轿门时间分别控制；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3、运行时间保护；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4、抱闸监控功能；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5、手动盘车保护功能；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6、接触器反馈检测功能；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7、终端楼层保护；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8、开门异常</w:t>
            </w:r>
            <w:proofErr w:type="gramStart"/>
            <w:r>
              <w:rPr>
                <w:rFonts w:hAnsi="宋体" w:cs="宋体" w:hint="eastAsia"/>
                <w:sz w:val="24"/>
              </w:rPr>
              <w:t>手动选层自救</w:t>
            </w:r>
            <w:proofErr w:type="gramEnd"/>
            <w:r>
              <w:rPr>
                <w:rFonts w:hAnsi="宋体" w:cs="宋体" w:hint="eastAsia"/>
                <w:sz w:val="24"/>
              </w:rPr>
              <w:t>功能；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lastRenderedPageBreak/>
              <w:t>9、到站钟；</w:t>
            </w:r>
          </w:p>
          <w:p w:rsidR="00DF379E" w:rsidRDefault="00880E3C">
            <w:pPr>
              <w:pStyle w:val="a4"/>
              <w:spacing w:line="44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10、运行次数显示；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11、运行时间显示；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12、机房紧急电动运行。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五、技术条件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电梯在供电电压波动≤±7%及供电频率波动≤±3%时仍能正常工作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响应，电梯在供电电压波动≤±7%及供电频率波动≤±3%时仍能正常工作。</w:t>
            </w:r>
          </w:p>
        </w:tc>
      </w:tr>
      <w:tr w:rsidR="00DF379E">
        <w:trPr>
          <w:trHeight w:val="426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电梯在额定载荷时允许起、制动循环次数≥180次/小时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响应，电梯在额定载荷时允许起、制动循环次数≥180次/小时。</w:t>
            </w:r>
          </w:p>
        </w:tc>
      </w:tr>
      <w:tr w:rsidR="00DF379E">
        <w:trPr>
          <w:trHeight w:val="440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机房内噪声≤75dB（A）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响应，优于招标文件要求。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机房内噪声≤</w:t>
            </w:r>
            <w:r>
              <w:rPr>
                <w:rFonts w:ascii="宋体" w:hAnsi="宋体" w:cs="宋体" w:hint="eastAsia"/>
                <w:b/>
                <w:sz w:val="24"/>
                <w:u w:val="single"/>
              </w:rPr>
              <w:t>68.7dB（A）</w:t>
            </w:r>
            <w:r>
              <w:rPr>
                <w:rFonts w:ascii="宋体" w:hAnsi="宋体" w:cs="宋体" w:hint="eastAsia"/>
                <w:bCs/>
                <w:sz w:val="24"/>
                <w:szCs w:val="21"/>
              </w:rPr>
              <w:t>。</w:t>
            </w:r>
          </w:p>
        </w:tc>
      </w:tr>
      <w:tr w:rsidR="00DF379E">
        <w:trPr>
          <w:trHeight w:val="426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5.4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轿厢内噪声≤55dB（A）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响应，优于招标文件要求。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轿厢内噪声≤</w:t>
            </w:r>
            <w:r>
              <w:rPr>
                <w:rFonts w:ascii="宋体" w:hAnsi="宋体" w:cs="宋体" w:hint="eastAsia"/>
                <w:b/>
                <w:sz w:val="24"/>
                <w:u w:val="single"/>
              </w:rPr>
              <w:t>55dB（A）</w:t>
            </w:r>
            <w:r>
              <w:rPr>
                <w:rFonts w:ascii="宋体" w:hAnsi="宋体" w:cs="宋体" w:hint="eastAsia"/>
                <w:bCs/>
                <w:sz w:val="24"/>
                <w:szCs w:val="21"/>
              </w:rPr>
              <w:t>。</w:t>
            </w:r>
          </w:p>
        </w:tc>
      </w:tr>
      <w:tr w:rsidR="00DF379E">
        <w:trPr>
          <w:trHeight w:val="425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5.5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开关门噪声≤60dB（A）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响应，优于招标文件要求。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轿厢内噪声≤</w:t>
            </w:r>
            <w:r>
              <w:rPr>
                <w:rFonts w:ascii="宋体" w:hAnsi="宋体" w:cs="宋体" w:hint="eastAsia"/>
                <w:b/>
                <w:sz w:val="24"/>
                <w:u w:val="single"/>
              </w:rPr>
              <w:t>49.7dB（A）</w:t>
            </w:r>
            <w:r>
              <w:rPr>
                <w:rFonts w:ascii="宋体" w:hAnsi="宋体" w:cs="宋体" w:hint="eastAsia"/>
                <w:bCs/>
                <w:sz w:val="24"/>
                <w:szCs w:val="21"/>
              </w:rPr>
              <w:t>。</w:t>
            </w:r>
          </w:p>
        </w:tc>
      </w:tr>
      <w:tr w:rsidR="00DF379E">
        <w:trPr>
          <w:trHeight w:val="411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5.6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平层精度：≤±5mm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响应，优于招标文件要求。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平层精度：</w:t>
            </w:r>
            <w:r>
              <w:rPr>
                <w:rFonts w:ascii="宋体" w:hAnsi="宋体" w:cs="宋体" w:hint="eastAsia"/>
                <w:bCs/>
                <w:sz w:val="24"/>
              </w:rPr>
              <w:t>≤</w:t>
            </w:r>
            <w:r>
              <w:rPr>
                <w:rFonts w:ascii="宋体" w:hAnsi="宋体" w:cs="宋体" w:hint="eastAsia"/>
                <w:b/>
                <w:sz w:val="24"/>
                <w:u w:val="single"/>
              </w:rPr>
              <w:t>±3mm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</w:tc>
      </w:tr>
      <w:tr w:rsidR="00DF379E">
        <w:trPr>
          <w:trHeight w:val="398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5.7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称重装置误差≤±1%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响应，称重装置误差≤±1%</w:t>
            </w:r>
          </w:p>
        </w:tc>
      </w:tr>
      <w:tr w:rsidR="00DF379E">
        <w:trPr>
          <w:trHeight w:val="398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5.8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减速机不允许有渗漏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油现象</w:t>
            </w:r>
            <w:proofErr w:type="gramEnd"/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响应，减速机无渗漏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油现象</w:t>
            </w:r>
            <w:proofErr w:type="gramEnd"/>
          </w:p>
        </w:tc>
      </w:tr>
      <w:tr w:rsidR="00DF379E">
        <w:trPr>
          <w:trHeight w:val="383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5.9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平均故障次数≤5/60000次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响应，平均故障次数≤5/60000次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六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sz w:val="24"/>
              </w:rPr>
              <w:t>安全设备：供货方提供的电梯应包括（但不仅限于）下列设备。其应符合有关标准中的规定。</w:t>
            </w:r>
          </w:p>
        </w:tc>
      </w:tr>
      <w:tr w:rsidR="00DF379E">
        <w:trPr>
          <w:trHeight w:val="3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断相和错相保护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响应，具备断相和错相保护。</w:t>
            </w:r>
          </w:p>
        </w:tc>
      </w:tr>
      <w:tr w:rsidR="00DF379E">
        <w:trPr>
          <w:trHeight w:val="356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上、下终点开关和上、下极限开关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响应，具备上、下终点开关和上、下极限开关。</w:t>
            </w:r>
          </w:p>
        </w:tc>
      </w:tr>
      <w:tr w:rsidR="00DF379E">
        <w:trPr>
          <w:trHeight w:val="369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6.3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缓冲器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响应，具备缓冲器。</w:t>
            </w:r>
          </w:p>
        </w:tc>
      </w:tr>
      <w:tr w:rsidR="00DF379E">
        <w:trPr>
          <w:trHeight w:val="355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6.4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限速器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响应，具备限速器。</w:t>
            </w:r>
          </w:p>
        </w:tc>
      </w:tr>
      <w:tr w:rsidR="00DF379E">
        <w:trPr>
          <w:trHeight w:val="328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6.5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安全钳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响应，具备安全钳。</w:t>
            </w:r>
          </w:p>
        </w:tc>
      </w:tr>
      <w:tr w:rsidR="00DF379E">
        <w:trPr>
          <w:trHeight w:val="313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6.6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紧急停止按钮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具备紧急停止按钮。</w:t>
            </w:r>
          </w:p>
        </w:tc>
      </w:tr>
      <w:tr w:rsidR="00DF379E">
        <w:trPr>
          <w:trHeight w:val="342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6.7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层门安全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设施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具备层门安全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设施。</w:t>
            </w:r>
          </w:p>
        </w:tc>
      </w:tr>
      <w:tr w:rsidR="00DF379E">
        <w:trPr>
          <w:trHeight w:val="370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6.8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轿门安全设施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响应，具备轿门安全设施。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七、主要部件要求：列明型号、产地、品牌：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*7.1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控制柜：与电梯同品牌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响应，</w:t>
            </w:r>
            <w:r>
              <w:rPr>
                <w:rFonts w:ascii="宋体" w:hAnsi="宋体" w:hint="eastAsia"/>
                <w:color w:val="000000"/>
                <w:sz w:val="24"/>
              </w:rPr>
              <w:t>控制柜型号：HD-CW30系列；产地：宁波；品牌：宏大；与投标电梯整机同品牌。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*7.2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无齿曳引机：与电梯同品牌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无齿</w:t>
            </w:r>
            <w:r>
              <w:rPr>
                <w:rFonts w:ascii="宋体" w:hAnsi="宋体" w:hint="eastAsia"/>
                <w:color w:val="000000"/>
                <w:sz w:val="24"/>
              </w:rPr>
              <w:t>曳引机型号：MINI系列；产地：宁波；品牌：宏大；与投标电梯整机同品牌。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*7.3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交流变频门机：与电梯同品牌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交流变频</w:t>
            </w:r>
            <w:r>
              <w:rPr>
                <w:rFonts w:ascii="宋体" w:hAnsi="宋体" w:hint="eastAsia"/>
                <w:color w:val="000000"/>
                <w:sz w:val="24"/>
              </w:rPr>
              <w:t>门机型号：XD系列；产地：宁波；品牌：宏大；与投标电梯整机同品牌。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7.4 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门保护红外线光幕：要求光束达到150束以上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hint="eastAsia"/>
                <w:color w:val="000000"/>
                <w:sz w:val="24"/>
              </w:rPr>
              <w:t>光幕型号：917系列；产地：宁波；品牌：微科；</w:t>
            </w:r>
            <w:r>
              <w:rPr>
                <w:rFonts w:ascii="宋体" w:hAnsi="宋体" w:cs="宋体" w:hint="eastAsia"/>
                <w:sz w:val="24"/>
              </w:rPr>
              <w:t>门保护红外线光幕：光束达到</w:t>
            </w:r>
            <w:r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>154束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八、服务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电梯安装以全包交钥匙工程方式，包括安装，调试，检测和通过相关部门验收。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响应，电梯安装以全包交钥匙工程方式，包括安装，调试，检测和通过相关部门验收。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*8.2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电梯安装验收合格（以业主收到</w:t>
            </w:r>
            <w:r>
              <w:rPr>
                <w:rFonts w:ascii="宋体" w:hAnsi="宋体" w:cs="宋体" w:hint="eastAsia"/>
                <w:sz w:val="24"/>
              </w:rPr>
              <w:t>宁波市特种设备检验研究院颁发的电梯安装验收合格证书时间为准）后，</w:t>
            </w:r>
            <w:r>
              <w:rPr>
                <w:rFonts w:ascii="宋体" w:hAnsi="宋体" w:cs="宋体" w:hint="eastAsia"/>
                <w:bCs/>
                <w:sz w:val="24"/>
              </w:rPr>
              <w:t>质量保修期（免费保修）为60个月，质量保修期内免费提供</w:t>
            </w:r>
            <w:r>
              <w:rPr>
                <w:rFonts w:ascii="宋体" w:hAnsi="宋体" w:cs="宋体" w:hint="eastAsia"/>
                <w:sz w:val="24"/>
              </w:rPr>
              <w:t>维护保养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响应，电梯安装验收合格（以业主收到</w:t>
            </w:r>
            <w:r>
              <w:rPr>
                <w:rFonts w:ascii="宋体" w:hAnsi="宋体" w:cs="宋体" w:hint="eastAsia"/>
                <w:sz w:val="24"/>
              </w:rPr>
              <w:t>宁波市特种设备检验研究院颁发的电梯安装验收合格证书时间为准）后，</w:t>
            </w:r>
            <w:r>
              <w:rPr>
                <w:rFonts w:ascii="宋体" w:hAnsi="宋体" w:cs="宋体" w:hint="eastAsia"/>
                <w:bCs/>
                <w:sz w:val="24"/>
              </w:rPr>
              <w:t>质量保修期（免费保修）为</w:t>
            </w:r>
            <w:r>
              <w:rPr>
                <w:rFonts w:ascii="宋体" w:hAnsi="宋体" w:cs="宋体" w:hint="eastAsia"/>
                <w:b/>
                <w:sz w:val="24"/>
                <w:u w:val="single"/>
              </w:rPr>
              <w:t>60</w:t>
            </w:r>
            <w:bookmarkStart w:id="4" w:name="_GoBack"/>
            <w:bookmarkEnd w:id="4"/>
            <w:r>
              <w:rPr>
                <w:rFonts w:ascii="宋体" w:hAnsi="宋体" w:cs="宋体" w:hint="eastAsia"/>
                <w:b/>
                <w:sz w:val="24"/>
                <w:u w:val="single"/>
              </w:rPr>
              <w:t>个月</w:t>
            </w:r>
            <w:r>
              <w:rPr>
                <w:rFonts w:ascii="宋体" w:hAnsi="宋体" w:cs="宋体" w:hint="eastAsia"/>
                <w:bCs/>
                <w:sz w:val="24"/>
              </w:rPr>
              <w:t>，质量保修期内免费提供</w:t>
            </w:r>
            <w:r>
              <w:rPr>
                <w:rFonts w:ascii="宋体" w:hAnsi="宋体" w:cs="宋体" w:hint="eastAsia"/>
                <w:sz w:val="24"/>
              </w:rPr>
              <w:t>维护保养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 w:rsidP="00645E04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8.</w:t>
            </w:r>
            <w:r w:rsidR="00645E04"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应急服务内容、费用（响应时间）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响应,</w:t>
            </w:r>
            <w:r>
              <w:rPr>
                <w:rFonts w:ascii="宋体" w:hAnsi="宋体" w:cs="宋体" w:hint="eastAsia"/>
                <w:sz w:val="24"/>
              </w:rPr>
              <w:t>质保期内，维修人员会在接到维修电话后</w:t>
            </w:r>
            <w:r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>30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分钟内</w:t>
            </w:r>
            <w:r>
              <w:rPr>
                <w:rFonts w:ascii="宋体" w:hAnsi="宋体" w:cs="宋体" w:hint="eastAsia"/>
                <w:sz w:val="24"/>
              </w:rPr>
              <w:t>迅速赶到现场，提供不间断的服务直到结束。质保期内免费维保。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 w:rsidP="00645E04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8.</w:t>
            </w:r>
            <w:r w:rsidR="00645E04"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售后服务故障处理承诺：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1、在质量保证期内必须派维保人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员驻项目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点提供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24小时维保服务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2、无论在质量保证期内还是保证期满后，一旦电梯发生故障，而买方无法自行排除时，在收到买方通知后，卖方应在30分钟内派人到买方现场处理并及时提供备品备件。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　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响应，</w:t>
            </w:r>
            <w:r>
              <w:rPr>
                <w:rFonts w:ascii="宋体" w:hAnsi="宋体" w:cs="宋体" w:hint="eastAsia"/>
                <w:sz w:val="24"/>
              </w:rPr>
              <w:t>售后服务故障处理承诺：</w:t>
            </w:r>
          </w:p>
          <w:p w:rsidR="00DF379E" w:rsidRDefault="00880E3C">
            <w:pPr>
              <w:spacing w:line="44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1、在质量保证期内必须派维保人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员驻项目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点提供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24小时维保服务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DF379E" w:rsidRDefault="00880E3C">
            <w:pPr>
              <w:spacing w:line="44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2、无论在质量保证期内还是保证期满后，一旦电梯发生故障，而买方无法自行排除时，在收到买方通知后，卖方应在30分钟内派人到买方现场处理并及时提供备品备件。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　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 w:rsidP="00645E04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8.</w:t>
            </w:r>
            <w:r w:rsidR="00645E04"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提供常用备品备件清单、产地、报价（10年内保持价格只降不升，含进口部件的关税下降幅度）。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 w:rsidP="00645E04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8.</w:t>
            </w:r>
            <w:r w:rsidR="00645E04"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买方向中标人选购零件时，中标人不能解脱合同所规定的任何担保义务。在设备投入使用后，中标人必须保证备件得提供，期限不能少于15年。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 w:rsidP="00645E04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8.</w:t>
            </w:r>
            <w:r w:rsidR="00645E04"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中标人应在所供零部件停产前3个月通知买方，以便买方有足够时间购买所需的零部件。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九、其他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9.1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不锈钢板(</w:t>
            </w:r>
            <w:r>
              <w:rPr>
                <w:rFonts w:ascii="宋体" w:hAnsi="宋体" w:cs="宋体" w:hint="eastAsia"/>
                <w:bCs/>
                <w:sz w:val="24"/>
              </w:rPr>
              <w:t>注明产地</w:t>
            </w:r>
            <w:r>
              <w:rPr>
                <w:rFonts w:ascii="宋体" w:hAnsi="宋体" w:cs="宋体" w:hint="eastAsia"/>
                <w:sz w:val="24"/>
              </w:rPr>
              <w:t>)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响应，</w:t>
            </w:r>
            <w:r>
              <w:rPr>
                <w:rFonts w:ascii="宋体" w:hAnsi="宋体" w:hint="eastAsia"/>
                <w:color w:val="000000"/>
                <w:sz w:val="24"/>
              </w:rPr>
              <w:t>不锈钢板：江苏海门森达。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9.2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制造：供货方提供的设备各零部件应按标准制造，并有替换性和精确装配性。特别对于驱动装置（曳引元件设备）、门机等的装配，所有都应在工厂完成或预装配或其尺寸误差达到预装配水平。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响应，</w:t>
            </w:r>
            <w:r>
              <w:rPr>
                <w:rFonts w:ascii="宋体" w:hAnsi="宋体" w:hint="eastAsia"/>
                <w:color w:val="000000"/>
                <w:sz w:val="24"/>
              </w:rPr>
              <w:t>制造：供货方提供的设备各零部件按标准制造，并有替换性和精确装配性。特别对于驱动装置（曳引元件设备）、门机等的装配，所有都在工厂完成或预装配或其尺寸误差达到预装配水平。</w:t>
            </w:r>
          </w:p>
        </w:tc>
      </w:tr>
      <w:tr w:rsidR="00DF379E">
        <w:trPr>
          <w:trHeight w:val="3735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9.3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性能：供应商提供的电梯设备应在噪音、振动、设备可靠性、性能等方面需符合国家标准中的优等品标准和相应的国际标准。在最终验收时，要对噪音、震动这二方面的性能数据作专门检测，其结果应达到上述提及的要求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响应，</w:t>
            </w:r>
            <w:r>
              <w:rPr>
                <w:rFonts w:ascii="宋体" w:hAnsi="宋体" w:cs="宋体" w:hint="eastAsia"/>
                <w:sz w:val="24"/>
              </w:rPr>
              <w:t>设备性能：我方提供的电梯设备在噪音、振动、设备可靠性、性能等方面需符合国家标准中的优等品标准和相应的国际标准。在最终验收时，均对噪音、震动这二方面的性能数据作专门检测，其结果均达到上述提及的要求。</w:t>
            </w:r>
          </w:p>
        </w:tc>
      </w:tr>
      <w:tr w:rsidR="00DF379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十</w:t>
            </w:r>
            <w:r>
              <w:rPr>
                <w:rFonts w:ascii="宋体" w:hAnsi="宋体" w:cs="宋体" w:hint="eastAsia"/>
                <w:b/>
                <w:sz w:val="24"/>
              </w:rPr>
              <w:t>、其它必须承诺部分</w:t>
            </w:r>
          </w:p>
        </w:tc>
      </w:tr>
      <w:tr w:rsidR="00DF379E">
        <w:trPr>
          <w:trHeight w:val="960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10.1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井道内照明线路，电线管，插座，灯具及安装的所有费用应由卖方承担。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10.2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井道钢质牛腿、井道内部用钢材、井道脚手架费、底坑爬梯、井道内的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搁机钢梁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等均由卖方自行配套并承担所有费用。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10.3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电梯电源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动力箱由卖方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承担，买方三相五线穿线到电梯顶层电梯控制箱旁，买方电源配电箱至电梯动力箱的电缆和连接由卖方负责。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10.4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所有主机设备及配件的出厂时间与电梯设备到工地时间不大于180天，如分批交付以时间作相应调整。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*10.5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付款方式和条件：（详见第四部分　合同特殊条款中的付款方式）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10.6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承诺在交货时能提供以下文件（如有进口部分）：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（1）国外制造商出具的进口电梯部件的产品合格证书原件；</w:t>
            </w:r>
          </w:p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（2）中国海关出具的进口电梯部件进口报关单（复印件，原件备查）。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10.7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投标方必须提供投标电梯型号相配的各种技术数据。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响应，</w:t>
            </w:r>
            <w:r>
              <w:rPr>
                <w:rFonts w:ascii="宋体" w:hAnsi="宋体" w:hint="eastAsia"/>
                <w:color w:val="000000"/>
                <w:sz w:val="24"/>
              </w:rPr>
              <w:t>我方提供投标电梯型号相配的各种技术数据。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10.8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签订合同以后，投标方应提供电梯交付、安装周期表。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10.9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投标人有义务对本项目的图纸及现场进行认真地检查确认，并主动了解所有与电梯及安装的信息或尺寸，由此造成的后果或损失，业主不承担相关的责任。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其他承诺：合同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签定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后投标人须承诺会安</w:t>
            </w:r>
            <w:r>
              <w:rPr>
                <w:rFonts w:ascii="宋体" w:hAnsi="宋体" w:cs="宋体" w:hint="eastAsia"/>
                <w:sz w:val="24"/>
              </w:rPr>
              <w:lastRenderedPageBreak/>
              <w:t>排一名项目经理统一指挥、协调内外部工作。高度关注工程安全、工程质量、工程进度、处理好与其它分包单位的工作协调等。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11．1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对用户井道土建进行勘测（填写土建勘测报告），发现问题及时与用户沟通、联系，并进行整改（必要时可书面告知买方，需配合做好电梯施工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前必要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的准备工作)；并认真做好《首次工地现场检查要求及检查记录》工作；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办理与业主（监理）的土建交接（验收）手续，并提出需要用户（业主/监理）提供或配合的事项；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11．3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开箱点件（并填写现场开箱记录单），作好电梯部件的现场保管工作；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11．4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井道内各部件安装，采用搭设井道脚手架办法施工，脚手架搭设由卖方负责，必须牢固可靠, 并经过检查才能使用；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11．5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按照土建图，钉制样板架（对平行排列梯，需要建筑商提供墙面共同的基准线，固定、确定样板架位置），并进行必要的土建修整工作；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11．6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安装电梯导轨，需充分考虑现场具体条件、情况（如温度、风向等因素，对高层梯尤须注意），并作好导轨放样记录（报告）；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11．7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按照安装工艺（安装手册）的要求，分别进行井道部件（导轨、支架、轿厢等）、机房设备（机组、控制柜定位、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电气缚线等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）、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层门部分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、安全部件等的安装；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11．8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进行慢车、快车调试，并作好调试过程记</w:t>
            </w:r>
            <w:r>
              <w:rPr>
                <w:rFonts w:ascii="宋体" w:hAnsi="宋体" w:cs="宋体" w:hint="eastAsia"/>
                <w:sz w:val="24"/>
              </w:rPr>
              <w:lastRenderedPageBreak/>
              <w:t>录和调试报告；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11．9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整机外观清洁、卫生，并按安装验收、规范要求进行整改；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11．10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进行安装验收资料的准备，并对照安装质量检查清单和国家标准严格进行自检；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11．11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在自检合格情况下，提交检验申请单，要求投标人派专职质量检验员，进行产品、安装质量检验；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567"/>
          <w:jc w:val="center"/>
        </w:trPr>
        <w:tc>
          <w:tcPr>
            <w:tcW w:w="857" w:type="dxa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11．12</w:t>
            </w:r>
          </w:p>
        </w:tc>
        <w:tc>
          <w:tcPr>
            <w:tcW w:w="4433" w:type="dxa"/>
            <w:gridSpan w:val="2"/>
            <w:vAlign w:val="center"/>
          </w:tcPr>
          <w:p w:rsidR="00DF379E" w:rsidRDefault="00880E3C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向政府部门（质量技术监督局）申报检测，确保检测合格，符合国家标准的电扶梯设备移交客户；</w:t>
            </w:r>
          </w:p>
        </w:tc>
        <w:tc>
          <w:tcPr>
            <w:tcW w:w="4349" w:type="dxa"/>
            <w:vAlign w:val="center"/>
          </w:tcPr>
          <w:p w:rsidR="00DF379E" w:rsidRDefault="00880E3C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</w:tbl>
    <w:p w:rsidR="00DF379E" w:rsidRDefault="00880E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商务条款</w:t>
      </w:r>
    </w:p>
    <w:tbl>
      <w:tblPr>
        <w:tblW w:w="9618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6"/>
        <w:gridCol w:w="4445"/>
        <w:gridCol w:w="4327"/>
      </w:tblGrid>
      <w:tr w:rsidR="00DF379E">
        <w:trPr>
          <w:trHeight w:val="454"/>
        </w:trPr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44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商务条款要求</w:t>
            </w:r>
          </w:p>
        </w:tc>
        <w:tc>
          <w:tcPr>
            <w:tcW w:w="43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投标商响应规格</w:t>
            </w:r>
          </w:p>
        </w:tc>
      </w:tr>
      <w:tr w:rsidR="00DF379E">
        <w:trPr>
          <w:trHeight w:val="454"/>
        </w:trPr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4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交货地点：采购人指定地点。</w:t>
            </w:r>
          </w:p>
        </w:tc>
        <w:tc>
          <w:tcPr>
            <w:tcW w:w="4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工期：</w:t>
            </w:r>
          </w:p>
          <w:p w:rsidR="00DF379E" w:rsidRDefault="00880E3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1、交货期：自合同签订之日起30天内发货并运送至采购人指定地点；</w:t>
            </w:r>
          </w:p>
          <w:p w:rsidR="00DF379E" w:rsidRDefault="00880E3C" w:rsidP="00837A8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2、安装期：自到货之日起</w:t>
            </w:r>
            <w:r w:rsidR="00837A83"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 w:hint="eastAsia"/>
                <w:sz w:val="24"/>
              </w:rPr>
              <w:t>天内完成安装、调试，并通过宁波市特种设备检验研究院的检验。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1、质量保证期：电梯验收合格后免费提供维修和保养≥</w:t>
            </w:r>
            <w:r w:rsidR="00837A83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年；</w:t>
            </w:r>
          </w:p>
          <w:p w:rsidR="00DF379E" w:rsidRDefault="00880E3C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（1）维修响应时间：接到要求提供服务的电话（或传真）后立即做出响应，1个小时内派出合格的服务人员到达电梯使用现场，紧急情况下半个小时。</w:t>
            </w:r>
          </w:p>
          <w:p w:rsidR="00DF379E" w:rsidRDefault="00880E3C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（2）现场培训：提供现场技术培训，保证使用人员正常操作设备的各种功能；</w:t>
            </w:r>
          </w:p>
          <w:p w:rsidR="00DF379E" w:rsidRDefault="00880E3C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（3）集中培训：根据设备技术要求，可提供使用和维修技术人员培训；</w:t>
            </w:r>
          </w:p>
          <w:p w:rsidR="00DF379E" w:rsidRDefault="00880E3C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（4）备件：为保证设备正常运行，卖方存入所有必须的备件，并保证10年</w:t>
            </w:r>
            <w:r>
              <w:rPr>
                <w:rFonts w:ascii="宋体" w:hAnsi="宋体" w:cs="宋体" w:hint="eastAsia"/>
                <w:sz w:val="24"/>
              </w:rPr>
              <w:lastRenderedPageBreak/>
              <w:t>以上的供应期。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DF379E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DF379E" w:rsidRDefault="00DF379E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DF379E" w:rsidRDefault="00DF379E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DF379E" w:rsidRDefault="00DF379E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DF379E" w:rsidRDefault="00DF379E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:rsidR="00DF379E" w:rsidRDefault="00880E3C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4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质量要求：符合国家规范、标准及本次用户需求。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合同签订时间：成交通知书发出之日起7天内。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  <w:tr w:rsidR="00DF379E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9E" w:rsidRDefault="00880E3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 w:rsidP="00DF379E">
            <w:pPr>
              <w:spacing w:line="360" w:lineRule="exact"/>
              <w:ind w:left="1205" w:hangingChars="500" w:hanging="1205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付款方式和条件：  </w:t>
            </w:r>
          </w:p>
          <w:p w:rsidR="00DF379E" w:rsidRDefault="00880E3C">
            <w:pPr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1. 自本合同成立之日起7天内需方应向供方支付货款的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50 </w:t>
            </w:r>
            <w:r>
              <w:rPr>
                <w:rFonts w:ascii="宋体" w:hAnsi="宋体" w:cs="宋体" w:hint="eastAsia"/>
                <w:sz w:val="24"/>
              </w:rPr>
              <w:t>%作为定金。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</w:p>
          <w:p w:rsidR="00DF379E" w:rsidRDefault="00880E3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 剩余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50% </w:t>
            </w:r>
            <w:r>
              <w:rPr>
                <w:rFonts w:ascii="宋体" w:hAnsi="宋体" w:cs="宋体" w:hint="eastAsia"/>
                <w:sz w:val="24"/>
              </w:rPr>
              <w:t>余款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在拿到政府验收合格证后</w:t>
            </w:r>
            <w:r>
              <w:rPr>
                <w:rFonts w:ascii="宋体" w:hAnsi="宋体" w:cs="宋体" w:hint="eastAsia"/>
                <w:sz w:val="24"/>
              </w:rPr>
              <w:t>付清。</w:t>
            </w:r>
          </w:p>
          <w:p w:rsidR="00DF379E" w:rsidRDefault="00DF379E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379E" w:rsidRDefault="00880E3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响应招标文件</w:t>
            </w:r>
          </w:p>
        </w:tc>
      </w:tr>
    </w:tbl>
    <w:p w:rsidR="00DF379E" w:rsidRDefault="00DF379E">
      <w:pPr>
        <w:rPr>
          <w:rFonts w:ascii="仿宋" w:eastAsia="仿宋" w:hAnsi="仿宋" w:cs="仿宋"/>
          <w:b/>
          <w:sz w:val="24"/>
        </w:rPr>
      </w:pPr>
    </w:p>
    <w:p w:rsidR="00DF379E" w:rsidRDefault="00DF379E" w:rsidP="00BC114B">
      <w:pPr>
        <w:adjustRightInd w:val="0"/>
        <w:spacing w:beforeLines="50" w:afterLines="50" w:line="360" w:lineRule="atLeast"/>
        <w:ind w:leftChars="150" w:left="315" w:firstLineChars="1368" w:firstLine="3296"/>
        <w:textAlignment w:val="baseline"/>
        <w:outlineLvl w:val="0"/>
        <w:rPr>
          <w:rFonts w:ascii="仿宋" w:eastAsia="仿宋" w:hAnsi="仿宋" w:cs="仿宋"/>
          <w:b/>
          <w:bCs/>
          <w:kern w:val="0"/>
          <w:sz w:val="24"/>
          <w:lang w:val="zh-CN"/>
        </w:rPr>
      </w:pPr>
    </w:p>
    <w:p w:rsidR="00DF379E" w:rsidRDefault="00DF379E" w:rsidP="00BC114B">
      <w:pPr>
        <w:adjustRightInd w:val="0"/>
        <w:spacing w:beforeLines="50" w:afterLines="50" w:line="360" w:lineRule="atLeast"/>
        <w:ind w:leftChars="150" w:left="315" w:firstLineChars="1368" w:firstLine="3296"/>
        <w:textAlignment w:val="baseline"/>
        <w:outlineLvl w:val="0"/>
        <w:rPr>
          <w:rFonts w:ascii="仿宋" w:eastAsia="仿宋" w:hAnsi="仿宋" w:cs="仿宋"/>
          <w:b/>
          <w:bCs/>
          <w:kern w:val="0"/>
          <w:sz w:val="24"/>
          <w:lang w:val="zh-CN"/>
        </w:rPr>
      </w:pPr>
    </w:p>
    <w:p w:rsidR="00DF379E" w:rsidRDefault="00DF379E" w:rsidP="00BC114B">
      <w:pPr>
        <w:adjustRightInd w:val="0"/>
        <w:spacing w:beforeLines="50" w:afterLines="50" w:line="360" w:lineRule="atLeast"/>
        <w:ind w:leftChars="150" w:left="315" w:firstLineChars="1368" w:firstLine="3296"/>
        <w:textAlignment w:val="baseline"/>
        <w:outlineLvl w:val="0"/>
        <w:rPr>
          <w:rFonts w:ascii="仿宋" w:eastAsia="仿宋" w:hAnsi="仿宋" w:cs="仿宋"/>
          <w:b/>
          <w:bCs/>
          <w:kern w:val="0"/>
          <w:sz w:val="24"/>
          <w:lang w:val="zh-CN"/>
        </w:rPr>
      </w:pPr>
    </w:p>
    <w:p w:rsidR="00DF379E" w:rsidRDefault="00DF379E" w:rsidP="00BC114B">
      <w:pPr>
        <w:adjustRightInd w:val="0"/>
        <w:spacing w:beforeLines="50" w:afterLines="50" w:line="360" w:lineRule="atLeast"/>
        <w:ind w:leftChars="150" w:left="315" w:firstLineChars="1368" w:firstLine="3296"/>
        <w:textAlignment w:val="baseline"/>
        <w:outlineLvl w:val="0"/>
        <w:rPr>
          <w:rFonts w:ascii="仿宋" w:eastAsia="仿宋" w:hAnsi="仿宋" w:cs="仿宋"/>
          <w:b/>
          <w:bCs/>
          <w:kern w:val="0"/>
          <w:sz w:val="24"/>
          <w:lang w:val="zh-CN"/>
        </w:rPr>
      </w:pPr>
    </w:p>
    <w:p w:rsidR="00DF379E" w:rsidRDefault="00DF379E" w:rsidP="00BC114B">
      <w:pPr>
        <w:adjustRightInd w:val="0"/>
        <w:spacing w:beforeLines="50" w:afterLines="50" w:line="360" w:lineRule="atLeast"/>
        <w:ind w:leftChars="150" w:left="315" w:firstLineChars="1368" w:firstLine="3296"/>
        <w:textAlignment w:val="baseline"/>
        <w:outlineLvl w:val="0"/>
        <w:rPr>
          <w:rFonts w:ascii="仿宋" w:eastAsia="仿宋" w:hAnsi="仿宋" w:cs="仿宋"/>
          <w:b/>
          <w:bCs/>
          <w:kern w:val="0"/>
          <w:sz w:val="24"/>
          <w:lang w:val="zh-CN"/>
        </w:rPr>
      </w:pPr>
    </w:p>
    <w:p w:rsidR="00DF379E" w:rsidRDefault="00DF379E" w:rsidP="00BC114B">
      <w:pPr>
        <w:adjustRightInd w:val="0"/>
        <w:spacing w:beforeLines="50" w:afterLines="50" w:line="360" w:lineRule="atLeast"/>
        <w:ind w:leftChars="150" w:left="315" w:firstLineChars="1368" w:firstLine="3296"/>
        <w:textAlignment w:val="baseline"/>
        <w:outlineLvl w:val="0"/>
        <w:rPr>
          <w:rFonts w:ascii="仿宋" w:eastAsia="仿宋" w:hAnsi="仿宋" w:cs="仿宋"/>
          <w:b/>
          <w:bCs/>
          <w:kern w:val="0"/>
          <w:sz w:val="24"/>
          <w:lang w:val="zh-CN"/>
        </w:rPr>
      </w:pPr>
    </w:p>
    <w:p w:rsidR="00DF379E" w:rsidRDefault="00DF379E"/>
    <w:sectPr w:rsidR="00DF379E" w:rsidSect="00DF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B4C" w:rsidRDefault="00D86B4C" w:rsidP="00645E04">
      <w:r>
        <w:separator/>
      </w:r>
    </w:p>
  </w:endnote>
  <w:endnote w:type="continuationSeparator" w:id="1">
    <w:p w:rsidR="00D86B4C" w:rsidRDefault="00D86B4C" w:rsidP="006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B4C" w:rsidRDefault="00D86B4C" w:rsidP="00645E04">
      <w:r>
        <w:separator/>
      </w:r>
    </w:p>
  </w:footnote>
  <w:footnote w:type="continuationSeparator" w:id="1">
    <w:p w:rsidR="00D86B4C" w:rsidRDefault="00D86B4C" w:rsidP="00645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eastAsia"/>
        <w:lang w:val="en-US"/>
      </w:rPr>
    </w:lvl>
  </w:abstractNum>
  <w:abstractNum w:abstractNumId="1">
    <w:nsid w:val="0000000C"/>
    <w:multiLevelType w:val="singleLevel"/>
    <w:tmpl w:val="0000000C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eastAsia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9B8C4C8"/>
    <w:multiLevelType w:val="singleLevel"/>
    <w:tmpl w:val="59B8C4C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UzYzJiM2E0NmQ2NWIwMDM5MTQwNWFmZWZiNmNmNDEifQ=="/>
  </w:docVars>
  <w:rsids>
    <w:rsidRoot w:val="00DF379E"/>
    <w:rsid w:val="000317BE"/>
    <w:rsid w:val="00182563"/>
    <w:rsid w:val="003E588D"/>
    <w:rsid w:val="00611E92"/>
    <w:rsid w:val="00645E04"/>
    <w:rsid w:val="00837A83"/>
    <w:rsid w:val="00880E3C"/>
    <w:rsid w:val="00A9679F"/>
    <w:rsid w:val="00A97024"/>
    <w:rsid w:val="00BC114B"/>
    <w:rsid w:val="00D17BB3"/>
    <w:rsid w:val="00D86B4C"/>
    <w:rsid w:val="00DF379E"/>
    <w:rsid w:val="00EB7CF5"/>
    <w:rsid w:val="00FF38D8"/>
    <w:rsid w:val="01376DB2"/>
    <w:rsid w:val="19340254"/>
    <w:rsid w:val="2B303EEA"/>
    <w:rsid w:val="2D452FBA"/>
    <w:rsid w:val="326E6534"/>
    <w:rsid w:val="368415E8"/>
    <w:rsid w:val="3E764509"/>
    <w:rsid w:val="470D582C"/>
    <w:rsid w:val="49D216B3"/>
    <w:rsid w:val="4E712B75"/>
    <w:rsid w:val="58994A26"/>
    <w:rsid w:val="5A92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F37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qFormat/>
    <w:rsid w:val="00DF379E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DF379E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DF379E"/>
    <w:pPr>
      <w:spacing w:line="500" w:lineRule="exact"/>
      <w:ind w:firstLine="480"/>
    </w:pPr>
    <w:rPr>
      <w:rFonts w:ascii="宋体"/>
      <w:sz w:val="24"/>
    </w:rPr>
  </w:style>
  <w:style w:type="paragraph" w:styleId="a4">
    <w:name w:val="Plain Text"/>
    <w:basedOn w:val="a"/>
    <w:qFormat/>
    <w:rsid w:val="00DF379E"/>
    <w:rPr>
      <w:rFonts w:ascii="宋体" w:hAnsi="Courier New"/>
    </w:rPr>
  </w:style>
  <w:style w:type="paragraph" w:styleId="a5">
    <w:name w:val="Subtitle"/>
    <w:basedOn w:val="a"/>
    <w:next w:val="a"/>
    <w:qFormat/>
    <w:rsid w:val="00DF379E"/>
    <w:pPr>
      <w:spacing w:line="360" w:lineRule="auto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6">
    <w:name w:val="header"/>
    <w:basedOn w:val="a"/>
    <w:link w:val="Char"/>
    <w:rsid w:val="00645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45E0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645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45E0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18</Pages>
  <Words>8830</Words>
  <Characters>2605</Characters>
  <Application>Microsoft Office Word</Application>
  <DocSecurity>0</DocSecurity>
  <Lines>21</Lines>
  <Paragraphs>22</Paragraphs>
  <ScaleCrop>false</ScaleCrop>
  <Company/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蔡惠飞</cp:lastModifiedBy>
  <cp:revision>15</cp:revision>
  <cp:lastPrinted>2024-12-19T23:43:00Z</cp:lastPrinted>
  <dcterms:created xsi:type="dcterms:W3CDTF">2023-01-30T04:42:00Z</dcterms:created>
  <dcterms:modified xsi:type="dcterms:W3CDTF">2024-12-23T05:58:00Z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248AE23FCD9643DEAA22972F9D9C3987_13</vt:lpwstr>
  </property>
</Properties>
</file>