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88" w:rsidRDefault="00D64988" w:rsidP="00D64988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项目要求：</w:t>
      </w:r>
    </w:p>
    <w:p w:rsidR="00D64988" w:rsidRDefault="00D64988" w:rsidP="00D64988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临床用血质控十二项指标的自动抓取、计算、上报，要求查询半</w:t>
      </w:r>
      <w:proofErr w:type="gramStart"/>
      <w:r>
        <w:rPr>
          <w:rFonts w:ascii="宋体" w:hAnsi="宋体" w:cs="宋体" w:hint="eastAsia"/>
          <w:sz w:val="24"/>
        </w:rPr>
        <w:t>年数据</w:t>
      </w:r>
      <w:proofErr w:type="gramEnd"/>
      <w:r>
        <w:rPr>
          <w:rFonts w:ascii="宋体" w:hAnsi="宋体" w:cs="宋体" w:hint="eastAsia"/>
          <w:sz w:val="24"/>
        </w:rPr>
        <w:t>的时间不能超过3秒钟，部分涉及手工取值的指标可手动填写上报，需提供每项指标的明细报表供数据分析，持续优化数据质量以满足质</w:t>
      </w:r>
      <w:proofErr w:type="gramStart"/>
      <w:r>
        <w:rPr>
          <w:rFonts w:ascii="宋体" w:hAnsi="宋体" w:cs="宋体" w:hint="eastAsia"/>
          <w:sz w:val="24"/>
        </w:rPr>
        <w:t>控检查</w:t>
      </w:r>
      <w:proofErr w:type="gramEnd"/>
      <w:r>
        <w:rPr>
          <w:rFonts w:ascii="宋体" w:hAnsi="宋体" w:cs="宋体" w:hint="eastAsia"/>
          <w:sz w:val="24"/>
        </w:rPr>
        <w:t>要求。要求在2024年</w:t>
      </w:r>
      <w:bookmarkStart w:id="0" w:name="_GoBack"/>
      <w:bookmarkEnd w:id="0"/>
      <w:r>
        <w:rPr>
          <w:rFonts w:ascii="宋体" w:hAnsi="宋体" w:cs="宋体" w:hint="eastAsia"/>
          <w:sz w:val="24"/>
        </w:rPr>
        <w:t>12月底前完成该项目。</w:t>
      </w:r>
    </w:p>
    <w:tbl>
      <w:tblPr>
        <w:tblW w:w="4998" w:type="pct"/>
        <w:tblLayout w:type="fixed"/>
        <w:tblLook w:val="04A0"/>
      </w:tblPr>
      <w:tblGrid>
        <w:gridCol w:w="656"/>
        <w:gridCol w:w="2256"/>
        <w:gridCol w:w="3133"/>
        <w:gridCol w:w="2474"/>
      </w:tblGrid>
      <w:tr w:rsidR="00D64988" w:rsidTr="00260EE3">
        <w:trPr>
          <w:trHeight w:val="864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指标名称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计算公式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指标明细报表要求</w:t>
            </w:r>
          </w:p>
        </w:tc>
      </w:tr>
      <w:tr w:rsidR="00D64988" w:rsidTr="00260EE3">
        <w:trPr>
          <w:trHeight w:val="576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每千单位用血输血专业技术人员数(‰)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输血科专职专业计算人员数/(医疗机构2021年用血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总单位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数/1000)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可展现各时期人员变化情况</w:t>
            </w:r>
          </w:p>
        </w:tc>
      </w:tr>
      <w:tr w:rsidR="00D64988" w:rsidTr="00260EE3">
        <w:trPr>
          <w:trHeight w:val="576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《临床输血申请单》合格率（%）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[填写规范且符合用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血条件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的申请单数/同期接收的申请单总数]X100%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可查看不合格申请单的申请人、申请科室并汇总</w:t>
            </w:r>
          </w:p>
        </w:tc>
      </w:tr>
      <w:tr w:rsidR="00D64988" w:rsidTr="00260EE3">
        <w:trPr>
          <w:trHeight w:val="576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受血者标本血型复查率（%）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(受血者血液标本复查血型数/同期接收的受血者标本总数)X100%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可查看未复查标本血型的具体信息</w:t>
            </w:r>
          </w:p>
        </w:tc>
      </w:tr>
      <w:tr w:rsidR="00D64988" w:rsidTr="00260EE3">
        <w:trPr>
          <w:trHeight w:val="576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输血相容性检测项目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室内质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控率（%）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(开展室内质控的输血相容性检测项目数/医疗机构开展的输血相容性检测项目总数)X100%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可手动修改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室内质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控的输血相容性检测项目数</w:t>
            </w:r>
          </w:p>
        </w:tc>
      </w:tr>
      <w:tr w:rsidR="00D64988" w:rsidTr="00260EE3">
        <w:trPr>
          <w:trHeight w:val="864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输血相容性检测室间质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评项目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参加率（%）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(参加室间质评的输血相容性检测项目数/所参加的室间质评机构输血相容性检测室间质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评项目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总数)X100%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可手动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修改室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间质评的输血相容性检测项目数</w:t>
            </w:r>
          </w:p>
        </w:tc>
      </w:tr>
      <w:tr w:rsidR="00D64988" w:rsidTr="00260EE3">
        <w:trPr>
          <w:trHeight w:val="576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千输血人次不良反应上报例数(‰)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输血不良反映上报例数/(输血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人次/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1000)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可手动修改输血不良反映的上报例数</w:t>
            </w:r>
          </w:p>
        </w:tc>
      </w:tr>
      <w:tr w:rsidR="00D64988" w:rsidTr="00260EE3">
        <w:trPr>
          <w:trHeight w:val="864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一二级手术台均用血量（U）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一级和二级手术（红细胞和全血）用血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总单位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数/同期一级和二级手术总台数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可查看各类手术的用血情况，分析医生、科室的异体用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血情况</w:t>
            </w:r>
            <w:proofErr w:type="gramEnd"/>
          </w:p>
        </w:tc>
      </w:tr>
      <w:tr w:rsidR="00D64988" w:rsidTr="00260EE3">
        <w:trPr>
          <w:trHeight w:val="864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三四级手术台均用血量（U）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三级和四级手术（红细胞和全血）用血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总单位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数/同期三级和四级手术总台数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可查看各类手术的用血情况，分析医生、科室的异体用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血情况</w:t>
            </w:r>
            <w:proofErr w:type="gramEnd"/>
          </w:p>
        </w:tc>
      </w:tr>
      <w:tr w:rsidR="00D64988" w:rsidTr="00260EE3">
        <w:trPr>
          <w:trHeight w:val="864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手术患者自体输血率（%）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[手术患者自体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输血总单位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数/(同期手术患者异体输血单位数+自体输血单位数)]X100%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可查看各类手术的用血情况，分析医生、科室的自体用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血情况</w:t>
            </w:r>
            <w:proofErr w:type="gramEnd"/>
          </w:p>
        </w:tc>
      </w:tr>
      <w:tr w:rsidR="00D64988" w:rsidTr="00260EE3">
        <w:trPr>
          <w:trHeight w:val="576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出院患者人均用血量（U）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出院患者用血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总单位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数/同期出院患者人次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可按出院诊断等条件分析各科室的人均用血量</w:t>
            </w:r>
          </w:p>
        </w:tc>
      </w:tr>
      <w:tr w:rsidR="00D64988" w:rsidTr="00260EE3">
        <w:trPr>
          <w:trHeight w:val="576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输血前评估指标完成率（%）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[输血前评估指标完成数量/输血人次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可查看未进行输血前评估的申请单信息</w:t>
            </w:r>
          </w:p>
        </w:tc>
      </w:tr>
      <w:tr w:rsidR="00D64988" w:rsidTr="00260EE3">
        <w:trPr>
          <w:trHeight w:val="576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输血后评价指标完成率（%）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[输血后评价指标完成数量/输血人次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88" w:rsidRDefault="00D64988" w:rsidP="00260E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可查看未进行输血后评价的申请单信息</w:t>
            </w:r>
          </w:p>
        </w:tc>
      </w:tr>
    </w:tbl>
    <w:p w:rsidR="00D64988" w:rsidRPr="00D64988" w:rsidRDefault="00D64988"/>
    <w:sectPr w:rsidR="00D64988" w:rsidRPr="00D64988" w:rsidSect="00154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988" w:rsidRDefault="00D64988" w:rsidP="00D64988">
      <w:r>
        <w:separator/>
      </w:r>
    </w:p>
  </w:endnote>
  <w:endnote w:type="continuationSeparator" w:id="0">
    <w:p w:rsidR="00D64988" w:rsidRDefault="00D64988" w:rsidP="00D64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988" w:rsidRDefault="00D64988" w:rsidP="00D64988">
      <w:r>
        <w:separator/>
      </w:r>
    </w:p>
  </w:footnote>
  <w:footnote w:type="continuationSeparator" w:id="0">
    <w:p w:rsidR="00D64988" w:rsidRDefault="00D64988" w:rsidP="00D649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1DD1D0"/>
    <w:multiLevelType w:val="singleLevel"/>
    <w:tmpl w:val="DA1DD1D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988"/>
    <w:rsid w:val="0015497C"/>
    <w:rsid w:val="00D6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4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49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4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49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2</cp:revision>
  <dcterms:created xsi:type="dcterms:W3CDTF">2024-12-04T07:32:00Z</dcterms:created>
  <dcterms:modified xsi:type="dcterms:W3CDTF">2024-12-04T07:34:00Z</dcterms:modified>
</cp:coreProperties>
</file>