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3" w:rsidRDefault="00CB2771" w:rsidP="00A95063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="00A95063" w:rsidRPr="00A95063"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  <w:t>温湿度监</w:t>
      </w:r>
      <w:r w:rsidR="00A95063" w:rsidRPr="00A95063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控管理</w:t>
      </w:r>
      <w:r w:rsidR="00A95063" w:rsidRPr="00A95063"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  <w:t>项目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院内议标公告</w:t>
      </w:r>
    </w:p>
    <w:p w:rsidR="00CC58A3" w:rsidRDefault="00CC58A3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CC58A3" w:rsidRPr="00927F07" w:rsidRDefault="00CB2771" w:rsidP="00655869">
      <w:pPr>
        <w:widowControl/>
        <w:rPr>
          <w:rFonts w:asciiTheme="minorEastAsia" w:hAnsiTheme="minorEastAsia" w:cs="宋体"/>
          <w:kern w:val="0"/>
          <w:sz w:val="24"/>
          <w:szCs w:val="21"/>
        </w:rPr>
      </w:pPr>
      <w:r w:rsidRPr="00927F07">
        <w:rPr>
          <w:rFonts w:asciiTheme="minorEastAsia" w:hAnsiTheme="minorEastAsia" w:cs="宋体" w:hint="eastAsia"/>
          <w:kern w:val="0"/>
          <w:sz w:val="24"/>
          <w:szCs w:val="21"/>
        </w:rPr>
        <w:t>一、议标品目：</w:t>
      </w:r>
    </w:p>
    <w:tbl>
      <w:tblPr>
        <w:tblStyle w:val="a7"/>
        <w:tblW w:w="8222" w:type="dxa"/>
        <w:tblInd w:w="108" w:type="dxa"/>
        <w:tblLook w:val="04A0"/>
      </w:tblPr>
      <w:tblGrid>
        <w:gridCol w:w="709"/>
        <w:gridCol w:w="2693"/>
        <w:gridCol w:w="1276"/>
        <w:gridCol w:w="1985"/>
        <w:gridCol w:w="1559"/>
      </w:tblGrid>
      <w:tr w:rsidR="00CC58A3" w:rsidRPr="00927F07" w:rsidTr="00904EFC">
        <w:tc>
          <w:tcPr>
            <w:tcW w:w="709" w:type="dxa"/>
          </w:tcPr>
          <w:p w:rsidR="00CC58A3" w:rsidRPr="00927F07" w:rsidRDefault="00CB2771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2693" w:type="dxa"/>
          </w:tcPr>
          <w:p w:rsidR="00CC58A3" w:rsidRPr="00927F07" w:rsidRDefault="00CB2771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76" w:type="dxa"/>
          </w:tcPr>
          <w:p w:rsidR="00CC58A3" w:rsidRPr="00927F07" w:rsidRDefault="00CB2771" w:rsidP="00A9506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数量</w:t>
            </w:r>
          </w:p>
        </w:tc>
        <w:tc>
          <w:tcPr>
            <w:tcW w:w="1985" w:type="dxa"/>
          </w:tcPr>
          <w:p w:rsidR="00CC58A3" w:rsidRPr="00927F07" w:rsidRDefault="00A95063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监控点位</w:t>
            </w:r>
          </w:p>
        </w:tc>
        <w:tc>
          <w:tcPr>
            <w:tcW w:w="1559" w:type="dxa"/>
          </w:tcPr>
          <w:p w:rsidR="00CC58A3" w:rsidRPr="00927F07" w:rsidRDefault="00CB2771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最高限价</w:t>
            </w:r>
          </w:p>
          <w:p w:rsidR="00CC58A3" w:rsidRPr="00927F07" w:rsidRDefault="00CC58A3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</w:tc>
      </w:tr>
      <w:tr w:rsidR="00CC58A3" w:rsidRPr="00927F07" w:rsidTr="00904EFC">
        <w:tc>
          <w:tcPr>
            <w:tcW w:w="709" w:type="dxa"/>
            <w:vAlign w:val="center"/>
          </w:tcPr>
          <w:p w:rsidR="00CC58A3" w:rsidRPr="00927F07" w:rsidRDefault="00CC58A3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  <w:p w:rsidR="00CC58A3" w:rsidRPr="00927F07" w:rsidRDefault="00CB2771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C58A3" w:rsidRPr="00927F07" w:rsidRDefault="00A95063" w:rsidP="00600D2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1E520A">
              <w:rPr>
                <w:rFonts w:asciiTheme="minorEastAsia" w:hAnsiTheme="minorEastAsia" w:cs="宋体"/>
                <w:kern w:val="0"/>
                <w:sz w:val="24"/>
                <w:szCs w:val="21"/>
              </w:rPr>
              <w:t>温湿度监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控管理</w:t>
            </w:r>
            <w:r w:rsidRPr="001E520A">
              <w:rPr>
                <w:rFonts w:asciiTheme="minorEastAsia" w:hAnsiTheme="minorEastAsia" w:cs="宋体"/>
                <w:kern w:val="0"/>
                <w:sz w:val="24"/>
                <w:szCs w:val="21"/>
              </w:rPr>
              <w:t>项目</w:t>
            </w:r>
          </w:p>
        </w:tc>
        <w:tc>
          <w:tcPr>
            <w:tcW w:w="1276" w:type="dxa"/>
            <w:vAlign w:val="center"/>
          </w:tcPr>
          <w:p w:rsidR="00CC58A3" w:rsidRPr="00927F07" w:rsidRDefault="00CB277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1项</w:t>
            </w:r>
          </w:p>
        </w:tc>
        <w:tc>
          <w:tcPr>
            <w:tcW w:w="1985" w:type="dxa"/>
            <w:vAlign w:val="center"/>
          </w:tcPr>
          <w:p w:rsidR="00CC58A3" w:rsidRPr="00927F07" w:rsidRDefault="008E4E7E" w:rsidP="00927F07">
            <w:pPr>
              <w:widowControl/>
              <w:ind w:firstLineChars="150" w:firstLine="360"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550</w:t>
            </w:r>
            <w:r w:rsidR="00A95063" w:rsidRPr="00CC0432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个</w:t>
            </w:r>
          </w:p>
        </w:tc>
        <w:tc>
          <w:tcPr>
            <w:tcW w:w="1559" w:type="dxa"/>
            <w:vAlign w:val="center"/>
          </w:tcPr>
          <w:p w:rsidR="00CC58A3" w:rsidRPr="00927F07" w:rsidRDefault="00CB2771" w:rsidP="008E4E7E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="008E4E7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2</w:t>
            </w:r>
            <w:r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万</w:t>
            </w:r>
            <w:r w:rsidR="00C06DAC" w:rsidRPr="00927F07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元</w:t>
            </w:r>
          </w:p>
        </w:tc>
      </w:tr>
    </w:tbl>
    <w:p w:rsidR="00240FDF" w:rsidRPr="00240FDF" w:rsidRDefault="00240FDF" w:rsidP="007E4FB4">
      <w:pPr>
        <w:spacing w:line="360" w:lineRule="auto"/>
        <w:rPr>
          <w:rFonts w:asciiTheme="minorEastAsia" w:hAnsiTheme="minorEastAsia" w:cs="宋体"/>
          <w:b/>
          <w:kern w:val="0"/>
          <w:szCs w:val="21"/>
        </w:rPr>
      </w:pPr>
      <w:r w:rsidRPr="00240FDF">
        <w:rPr>
          <w:rFonts w:asciiTheme="minorEastAsia" w:hAnsiTheme="minorEastAsia" w:cs="宋体" w:hint="eastAsia"/>
          <w:b/>
          <w:kern w:val="0"/>
          <w:szCs w:val="21"/>
        </w:rPr>
        <w:t>注：本次报价包含项目所需的软硬件、检测、实施、培训、运维等全部费用，最终结算金额</w:t>
      </w:r>
      <w:r w:rsidR="00CC0432">
        <w:rPr>
          <w:rFonts w:asciiTheme="minorEastAsia" w:hAnsiTheme="minorEastAsia" w:cs="宋体" w:hint="eastAsia"/>
          <w:b/>
          <w:kern w:val="0"/>
          <w:szCs w:val="21"/>
        </w:rPr>
        <w:t>按实际</w:t>
      </w:r>
      <w:r w:rsidR="00CC0432" w:rsidRPr="00CC0432">
        <w:rPr>
          <w:rFonts w:asciiTheme="minorEastAsia" w:hAnsiTheme="minorEastAsia" w:cs="宋体" w:hint="eastAsia"/>
          <w:b/>
          <w:kern w:val="0"/>
          <w:szCs w:val="21"/>
        </w:rPr>
        <w:t>监控</w:t>
      </w:r>
      <w:r w:rsidR="00CC0432">
        <w:rPr>
          <w:rFonts w:asciiTheme="minorEastAsia" w:hAnsiTheme="minorEastAsia" w:cs="宋体" w:hint="eastAsia"/>
          <w:b/>
          <w:kern w:val="0"/>
          <w:szCs w:val="21"/>
        </w:rPr>
        <w:t>点位数</w:t>
      </w:r>
      <w:r w:rsidRPr="00240FDF">
        <w:rPr>
          <w:rFonts w:asciiTheme="minorEastAsia" w:hAnsiTheme="minorEastAsia" w:cs="宋体" w:hint="eastAsia"/>
          <w:b/>
          <w:kern w:val="0"/>
          <w:szCs w:val="21"/>
        </w:rPr>
        <w:t>量</w:t>
      </w:r>
      <w:r w:rsidR="00CC0432">
        <w:rPr>
          <w:rFonts w:asciiTheme="minorEastAsia" w:hAnsiTheme="minorEastAsia" w:cs="宋体" w:hint="eastAsia"/>
          <w:b/>
          <w:kern w:val="0"/>
          <w:szCs w:val="21"/>
        </w:rPr>
        <w:t>计算</w:t>
      </w:r>
      <w:r w:rsidRPr="00240FDF">
        <w:rPr>
          <w:rFonts w:asciiTheme="minorEastAsia" w:hAnsiTheme="minorEastAsia" w:cs="宋体" w:hint="eastAsia"/>
          <w:b/>
          <w:kern w:val="0"/>
          <w:szCs w:val="21"/>
        </w:rPr>
        <w:t>。</w:t>
      </w:r>
    </w:p>
    <w:p w:rsidR="00CC58A3" w:rsidRPr="00927F07" w:rsidRDefault="00CB2771" w:rsidP="007E4FB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927F07">
        <w:rPr>
          <w:rFonts w:asciiTheme="minorEastAsia" w:hAnsiTheme="minorEastAsia" w:cs="宋体" w:hint="eastAsia"/>
          <w:kern w:val="0"/>
          <w:sz w:val="24"/>
          <w:szCs w:val="21"/>
        </w:rPr>
        <w:t>二、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项目要求：</w:t>
      </w:r>
    </w:p>
    <w:p w:rsidR="0037660F" w:rsidRPr="00927F07" w:rsidRDefault="00446F74" w:rsidP="007E4FB4">
      <w:pPr>
        <w:spacing w:line="360" w:lineRule="auto"/>
        <w:ind w:left="79" w:hangingChars="33" w:hanging="79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为了保障医院各重点部门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温湿度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24小时持续</w:t>
      </w:r>
      <w:r w:rsidR="00B12EE3" w:rsidRPr="00927F07">
        <w:rPr>
          <w:rFonts w:asciiTheme="minorEastAsia" w:hAnsiTheme="minorEastAsia" w:cs="宋体" w:hint="eastAsia"/>
          <w:kern w:val="0"/>
          <w:sz w:val="24"/>
          <w:szCs w:val="21"/>
        </w:rPr>
        <w:t>有效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监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控，予采购医院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温湿度监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控管理服务</w:t>
      </w:r>
      <w:r w:rsidR="0037660F" w:rsidRPr="00927F07">
        <w:rPr>
          <w:rFonts w:asciiTheme="minorEastAsia" w:hAnsiTheme="minorEastAsia" w:cs="宋体"/>
          <w:kern w:val="0"/>
          <w:sz w:val="24"/>
          <w:szCs w:val="21"/>
        </w:rPr>
        <w:t>项目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，要求供应商提供项目所需的软硬件、</w:t>
      </w:r>
      <w:r w:rsidR="00B12EE3" w:rsidRPr="00927F07">
        <w:rPr>
          <w:rFonts w:asciiTheme="minorEastAsia" w:hAnsiTheme="minorEastAsia" w:cs="宋体" w:hint="eastAsia"/>
          <w:kern w:val="0"/>
          <w:sz w:val="24"/>
          <w:szCs w:val="21"/>
        </w:rPr>
        <w:t>检测、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实施、培训、运维等全部费用，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不得在中标后项目实施过程中要求</w:t>
      </w:r>
      <w:r w:rsidR="00B12EE3" w:rsidRPr="00927F07">
        <w:rPr>
          <w:rFonts w:asciiTheme="minorEastAsia" w:hAnsiTheme="minorEastAsia" w:cs="宋体" w:hint="eastAsia"/>
          <w:kern w:val="0"/>
          <w:sz w:val="24"/>
          <w:szCs w:val="21"/>
        </w:rPr>
        <w:t>增加额外费用</w:t>
      </w:r>
      <w:r w:rsidR="0037660F" w:rsidRPr="00927F07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B12EE3" w:rsidRPr="00927F07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功能要求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每个监测点位需显示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、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采集实时温湿度数据，并实现所有数据在一个系统汇总，可实现远程查看下载数据报表、温湿度曲线图标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功能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，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实现</w:t>
      </w:r>
      <w:r w:rsidR="00820263" w:rsidRPr="00927F07">
        <w:rPr>
          <w:rFonts w:asciiTheme="minorEastAsia" w:hAnsiTheme="minorEastAsia" w:cs="宋体" w:hint="eastAsia"/>
          <w:kern w:val="0"/>
          <w:sz w:val="24"/>
          <w:szCs w:val="21"/>
        </w:rPr>
        <w:t>系统日常操作日志、报警日志等审计追踪功能</w:t>
      </w:r>
      <w:r w:rsidR="00927F07" w:rsidRPr="00927F07">
        <w:rPr>
          <w:rFonts w:asciiTheme="minorEastAsia" w:hAnsiTheme="minorEastAsia" w:cs="宋体" w:hint="eastAsia"/>
          <w:kern w:val="0"/>
          <w:sz w:val="24"/>
          <w:szCs w:val="21"/>
        </w:rPr>
        <w:t>，报警要求有现场提醒功能，并有短信等形式通知相关责任人。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三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、投标要求：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="00CB2771" w:rsidRPr="00446F74">
        <w:rPr>
          <w:rFonts w:asciiTheme="minorEastAsia" w:hAnsiTheme="minorEastAsia" w:cs="宋体"/>
          <w:kern w:val="0"/>
          <w:sz w:val="24"/>
          <w:szCs w:val="21"/>
        </w:rPr>
        <w:t>投标人资格要求：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Pr="00446F74">
        <w:rPr>
          <w:rFonts w:asciiTheme="minorEastAsia" w:hAnsiTheme="minorEastAsia" w:cs="宋体"/>
          <w:kern w:val="0"/>
          <w:sz w:val="24"/>
          <w:szCs w:val="21"/>
        </w:rPr>
        <w:t>）具有独立承担民事责任的能力；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（2）具有良好的商业信誉和健全的财务会计制度；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（3）具有履行合同所必需的设备和专业技术能力；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（4）有依法缴纳税收和社会保障资金的良好记录；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/>
          <w:kern w:val="0"/>
          <w:sz w:val="24"/>
          <w:szCs w:val="21"/>
        </w:rPr>
        <w:t>（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Pr="00446F74">
        <w:rPr>
          <w:rFonts w:asciiTheme="minorEastAsia" w:hAnsiTheme="minorEastAsia" w:cs="宋体"/>
          <w:kern w:val="0"/>
          <w:sz w:val="24"/>
          <w:szCs w:val="21"/>
        </w:rPr>
        <w:t>）本项目不接受联合体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参与投标应提供以下资料（标书一正三副，正本须加盖红章）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（1）营业执照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及相关资质证明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复印件；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）相关品牌产品代理授权书；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3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）投标代表的法人授权书及身份证复印件，并带身份证原件；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）产品质量保证书、廉洁承诺书；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）投标一览表及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投标报价表；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655869" w:rsidRPr="00446F74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</w:t>
      </w:r>
      <w:r w:rsidR="004533BE" w:rsidRPr="00446F74">
        <w:rPr>
          <w:rFonts w:asciiTheme="minorEastAsia" w:hAnsiTheme="minorEastAsia" w:cs="宋体" w:hint="eastAsia"/>
          <w:kern w:val="0"/>
          <w:sz w:val="24"/>
          <w:szCs w:val="21"/>
        </w:rPr>
        <w:t>同类项目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业绩（提供合同复印件）；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lastRenderedPageBreak/>
        <w:t>（</w:t>
      </w:r>
      <w:r w:rsidR="00655869" w:rsidRPr="00446F74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）售后服务承诺及培训计划；</w:t>
      </w:r>
    </w:p>
    <w:p w:rsidR="00CC58A3" w:rsidRPr="00446F74" w:rsidRDefault="00CB2771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（</w:t>
      </w:r>
      <w:r w:rsidR="00655869" w:rsidRPr="00446F74">
        <w:rPr>
          <w:rFonts w:asciiTheme="minorEastAsia" w:hAnsiTheme="minorEastAsia" w:cs="宋体" w:hint="eastAsia"/>
          <w:kern w:val="0"/>
          <w:sz w:val="24"/>
          <w:szCs w:val="21"/>
        </w:rPr>
        <w:t>8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）所投的标书应包含但不限于上述资料，装订成册，不接收活页形式或通过夹子成型的标书。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四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、报名事项：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proofErr w:type="gramStart"/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请符合</w:t>
      </w:r>
      <w:proofErr w:type="gramEnd"/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资格的投标人到宁波大学附属人民医院采购中心（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东院区11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1114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室）报名，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或者</w:t>
      </w:r>
      <w:proofErr w:type="gramStart"/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扫二维码</w:t>
      </w:r>
      <w:proofErr w:type="gramEnd"/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报名，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联系人：蔡老师、肖老师，联系电话：0574-87016979。报名截止时间202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12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日1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时。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本次议标定于202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12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日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时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0分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，地点：16号楼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218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会议室。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我院为无烟医院，文明单位，院区内严禁吸烟，并要求严格做好垃圾分类，请投标人自觉遵守。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五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、评标方法：本次采购采用议标的方式，采用综合评分法，中标结果以宁波大学附属人民医院外网公示、电话通知为准。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六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、商务条款：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交货时间：</w:t>
      </w:r>
      <w:r w:rsidR="00CB2771" w:rsidRPr="00CC0432">
        <w:rPr>
          <w:rFonts w:asciiTheme="minorEastAsia" w:hAnsiTheme="minorEastAsia" w:cs="宋体" w:hint="eastAsia"/>
          <w:kern w:val="0"/>
          <w:sz w:val="24"/>
          <w:szCs w:val="21"/>
        </w:rPr>
        <w:t>中标后30天内。</w:t>
      </w:r>
    </w:p>
    <w:p w:rsidR="00446F74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2、服务期限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：合同签订日起一年，合同期满根据服务质量及院方需求决定是否续签合同，总服务期不超过三年。</w:t>
      </w:r>
    </w:p>
    <w:p w:rsidR="00CC58A3" w:rsidRPr="00446F74" w:rsidRDefault="00446F74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付款方式：项目验收合格后3个月内</w:t>
      </w:r>
      <w:r w:rsidR="007E4FB4">
        <w:rPr>
          <w:rFonts w:asciiTheme="minorEastAsia" w:hAnsiTheme="minorEastAsia" w:cs="宋体" w:hint="eastAsia"/>
          <w:kern w:val="0"/>
          <w:sz w:val="24"/>
          <w:szCs w:val="21"/>
        </w:rPr>
        <w:t>支付</w:t>
      </w:r>
      <w:r w:rsidR="00982A6A">
        <w:rPr>
          <w:rFonts w:asciiTheme="minorEastAsia" w:hAnsiTheme="minorEastAsia" w:cs="宋体" w:hint="eastAsia"/>
          <w:kern w:val="0"/>
          <w:sz w:val="24"/>
          <w:szCs w:val="21"/>
        </w:rPr>
        <w:t>合同款的95%，合同期满后一月内付清余款</w:t>
      </w:r>
      <w:r w:rsidR="00CB2771" w:rsidRPr="00446F74">
        <w:rPr>
          <w:rFonts w:asciiTheme="minorEastAsia" w:hAnsiTheme="minorEastAsia" w:cs="宋体" w:hint="eastAsia"/>
          <w:kern w:val="0"/>
          <w:sz w:val="24"/>
          <w:szCs w:val="21"/>
        </w:rPr>
        <w:t>。</w:t>
      </w:r>
    </w:p>
    <w:p w:rsidR="00CC58A3" w:rsidRPr="00446F74" w:rsidRDefault="00CC58A3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:rsidR="00CC58A3" w:rsidRPr="00446F74" w:rsidRDefault="00CB2771" w:rsidP="00446F74">
      <w:pPr>
        <w:spacing w:line="360" w:lineRule="auto"/>
        <w:jc w:val="right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宁波大学附属人民医院</w:t>
      </w:r>
    </w:p>
    <w:p w:rsidR="00CC58A3" w:rsidRPr="00446F74" w:rsidRDefault="00CB2771" w:rsidP="00446F74">
      <w:pPr>
        <w:spacing w:line="360" w:lineRule="auto"/>
        <w:jc w:val="right"/>
        <w:rPr>
          <w:rFonts w:asciiTheme="minorEastAsia" w:hAnsiTheme="minorEastAsia" w:cs="宋体"/>
          <w:kern w:val="0"/>
          <w:sz w:val="24"/>
          <w:szCs w:val="21"/>
        </w:rPr>
      </w:pP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202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="008E4E7E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5A661E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Pr="00446F74">
        <w:rPr>
          <w:rFonts w:asciiTheme="minorEastAsia" w:hAnsiTheme="minorEastAsia" w:cs="宋体" w:hint="eastAsia"/>
          <w:kern w:val="0"/>
          <w:sz w:val="24"/>
          <w:szCs w:val="21"/>
        </w:rPr>
        <w:t>日</w:t>
      </w:r>
    </w:p>
    <w:p w:rsidR="00CC58A3" w:rsidRPr="00446F74" w:rsidRDefault="00CC58A3" w:rsidP="00446F74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1"/>
        </w:rPr>
      </w:pPr>
    </w:p>
    <w:p w:rsidR="00CC58A3" w:rsidRPr="00446F74" w:rsidRDefault="00CC58A3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</w:p>
    <w:p w:rsidR="00CC58A3" w:rsidRPr="00446F74" w:rsidRDefault="00A0717C" w:rsidP="00446F74">
      <w:pPr>
        <w:spacing w:line="360" w:lineRule="auto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/>
          <w:noProof/>
          <w:kern w:val="0"/>
          <w:sz w:val="24"/>
          <w:szCs w:val="21"/>
        </w:rPr>
        <w:drawing>
          <wp:inline distT="0" distB="0" distL="0" distR="0">
            <wp:extent cx="1323975" cy="1323975"/>
            <wp:effectExtent l="19050" t="0" r="9525" b="0"/>
            <wp:docPr id="1" name="图片 1" descr="D:\微信资料\WeChat Files\wxid_0tjmequj87jh52\FileStorage\Temp\b43a30e4bad53aaa583e8a19787e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b43a30e4bad53aaa583e8a19787e5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8A3" w:rsidRDefault="00CB2771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CC58A3" w:rsidRPr="00475DDB" w:rsidRDefault="003D45B1" w:rsidP="000C564F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 w:rsidRPr="00475DDB">
        <w:rPr>
          <w:rFonts w:ascii="微软雅黑" w:eastAsia="微软雅黑" w:hAnsi="微软雅黑" w:hint="eastAsia"/>
          <w:b/>
          <w:sz w:val="24"/>
          <w:szCs w:val="24"/>
        </w:rPr>
        <w:lastRenderedPageBreak/>
        <w:t>附件：项目评分表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3D45B1" w:rsidTr="005272B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3D45B1" w:rsidTr="005272B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(25分)</w:t>
            </w:r>
          </w:p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评标基准价=所有有效投标价中的最低报价，基准价的价格分为满分25分，其余投标人报价得分=(基准价/投标报价)×25（保留小数点后一位数）。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6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Default="003D45B1" w:rsidP="00CC4AA2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</w:t>
            </w:r>
            <w:r w:rsidR="00CC4AA2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年1月起）供应商承接过的同类项目业绩，每个项目得1分；最高得</w:t>
            </w:r>
            <w:r w:rsidR="00475DDB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公司服务能力(10分)</w:t>
            </w:r>
          </w:p>
          <w:p w:rsidR="003D45B1" w:rsidRPr="00804843" w:rsidRDefault="002D1787" w:rsidP="002D1787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</w:t>
            </w:r>
            <w:r w:rsidR="003D45B1">
              <w:rPr>
                <w:rFonts w:asciiTheme="minorEastAsia" w:hAnsiTheme="minorEastAsia" w:hint="eastAsia"/>
              </w:rPr>
              <w:t>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</w:t>
            </w:r>
            <w:r w:rsidR="002D1787">
              <w:rPr>
                <w:rFonts w:asciiTheme="minorEastAsia" w:hAnsiTheme="minorEastAsia" w:cs="仿宋" w:hint="eastAsia"/>
                <w:b/>
                <w:bCs/>
                <w:kern w:val="0"/>
              </w:rPr>
              <w:t>30</w:t>
            </w: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3D45B1" w:rsidRPr="00804843" w:rsidRDefault="003D45B1" w:rsidP="002D1787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供应商所投产</w:t>
            </w:r>
            <w:proofErr w:type="gramStart"/>
            <w:r w:rsidRPr="00804843">
              <w:rPr>
                <w:rFonts w:asciiTheme="minorEastAsia" w:hAnsiTheme="minorEastAsia" w:hint="eastAsia"/>
              </w:rPr>
              <w:t>品</w:t>
            </w:r>
            <w:r w:rsidR="00C31138">
              <w:rPr>
                <w:rFonts w:asciiTheme="minorEastAsia" w:hAnsiTheme="minorEastAsia" w:hint="eastAsia"/>
              </w:rPr>
              <w:t>品牌</w:t>
            </w:r>
            <w:proofErr w:type="gramEnd"/>
            <w:r w:rsidR="00C31138">
              <w:rPr>
                <w:rFonts w:asciiTheme="minorEastAsia" w:hAnsiTheme="minorEastAsia" w:hint="eastAsia"/>
              </w:rPr>
              <w:t>及</w:t>
            </w:r>
            <w:r w:rsidRPr="00804843">
              <w:rPr>
                <w:rFonts w:asciiTheme="minorEastAsia" w:hAnsiTheme="minorEastAsia" w:hint="eastAsia"/>
              </w:rPr>
              <w:t>技术</w:t>
            </w:r>
            <w:r w:rsidR="002D1787">
              <w:rPr>
                <w:rFonts w:asciiTheme="minorEastAsia" w:hAnsiTheme="minorEastAsia" w:hint="eastAsia"/>
              </w:rPr>
              <w:t>功能</w:t>
            </w:r>
            <w:r w:rsidR="00C31138">
              <w:rPr>
                <w:rFonts w:asciiTheme="minorEastAsia" w:hAnsiTheme="minorEastAsia" w:hint="eastAsia"/>
              </w:rPr>
              <w:t>是否</w:t>
            </w:r>
            <w:r w:rsidRPr="00804843">
              <w:rPr>
                <w:rFonts w:asciiTheme="minorEastAsia" w:hAnsiTheme="minorEastAsia" w:hint="eastAsia"/>
              </w:rPr>
              <w:t>满足招标文件采购需求</w:t>
            </w:r>
            <w:r w:rsidR="00C31138">
              <w:rPr>
                <w:rFonts w:asciiTheme="minorEastAsia" w:hAnsiTheme="minorEastAsia" w:hint="eastAsia"/>
              </w:rPr>
              <w:t>综合评议。</w:t>
            </w:r>
            <w:r w:rsidR="002D1787" w:rsidRPr="00804843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804843"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3D45B1" w:rsidRPr="00804843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 w:rsidRPr="00804843">
              <w:rPr>
                <w:rFonts w:asciiTheme="minorEastAsia" w:hAnsiTheme="minorEastAsia" w:hint="eastAsia"/>
              </w:rPr>
              <w:t>根据供应商对本项目的实施方案设计的完整性、、先进性、合理</w:t>
            </w:r>
            <w:r w:rsidR="002D1787">
              <w:rPr>
                <w:rFonts w:asciiTheme="minorEastAsia" w:hAnsiTheme="minorEastAsia" w:hint="eastAsia"/>
              </w:rPr>
              <w:t>性，工作时间进度计划、工作程序和步骤、质量管理和保障措施可行性</w:t>
            </w:r>
            <w:r w:rsidRPr="00804843">
              <w:rPr>
                <w:rFonts w:asciiTheme="minorEastAsia" w:hAnsiTheme="minorEastAsia" w:hint="eastAsia"/>
              </w:rPr>
              <w:t>及与院方配合方案等进行综合评议。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3D45B1" w:rsidTr="005272BB">
        <w:trPr>
          <w:trHeight w:val="341"/>
          <w:jc w:val="center"/>
        </w:trPr>
        <w:tc>
          <w:tcPr>
            <w:tcW w:w="743" w:type="dxa"/>
            <w:vAlign w:val="center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3D45B1" w:rsidRDefault="003D45B1" w:rsidP="005272BB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475DDB">
              <w:rPr>
                <w:rFonts w:asciiTheme="minorEastAsia" w:hAnsiTheme="minorEastAsia" w:cs="仿宋" w:hint="eastAsia"/>
                <w:b/>
                <w:bCs/>
                <w:kern w:val="0"/>
              </w:rPr>
              <w:t>2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3D45B1" w:rsidRDefault="003D45B1" w:rsidP="002D178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根据各投标人的服务承诺方案（包括详细的售后服务方案、</w:t>
            </w:r>
            <w:r w:rsidR="002D1787">
              <w:rPr>
                <w:rFonts w:asciiTheme="minorEastAsia" w:hAnsiTheme="minorEastAsia" w:hint="eastAsia"/>
              </w:rPr>
              <w:t>应急响应时间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3D45B1" w:rsidRDefault="003D45B1" w:rsidP="005272BB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3D45B1" w:rsidRPr="003D45B1" w:rsidRDefault="003D45B1"/>
    <w:sectPr w:rsidR="003D45B1" w:rsidRPr="003D45B1" w:rsidSect="00CC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41" w:rsidRDefault="00340841" w:rsidP="00340841">
      <w:r>
        <w:separator/>
      </w:r>
    </w:p>
  </w:endnote>
  <w:endnote w:type="continuationSeparator" w:id="0">
    <w:p w:rsidR="00340841" w:rsidRDefault="00340841" w:rsidP="0034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41" w:rsidRDefault="00340841" w:rsidP="00340841">
      <w:r>
        <w:separator/>
      </w:r>
    </w:p>
  </w:footnote>
  <w:footnote w:type="continuationSeparator" w:id="0">
    <w:p w:rsidR="00340841" w:rsidRDefault="00340841" w:rsidP="00340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777FF"/>
    <w:rsid w:val="000B6E80"/>
    <w:rsid w:val="000C564F"/>
    <w:rsid w:val="001031FE"/>
    <w:rsid w:val="00165620"/>
    <w:rsid w:val="001D0B92"/>
    <w:rsid w:val="00240FDF"/>
    <w:rsid w:val="002D1787"/>
    <w:rsid w:val="00340841"/>
    <w:rsid w:val="003415FC"/>
    <w:rsid w:val="0037660F"/>
    <w:rsid w:val="003D45B1"/>
    <w:rsid w:val="00435280"/>
    <w:rsid w:val="00446F74"/>
    <w:rsid w:val="004533BE"/>
    <w:rsid w:val="00462E30"/>
    <w:rsid w:val="00475DDB"/>
    <w:rsid w:val="00520E40"/>
    <w:rsid w:val="00522595"/>
    <w:rsid w:val="005928FA"/>
    <w:rsid w:val="005A661E"/>
    <w:rsid w:val="00600D27"/>
    <w:rsid w:val="00627A9A"/>
    <w:rsid w:val="00655869"/>
    <w:rsid w:val="006D0682"/>
    <w:rsid w:val="007E4FB4"/>
    <w:rsid w:val="00820263"/>
    <w:rsid w:val="00885CCF"/>
    <w:rsid w:val="008E4E7E"/>
    <w:rsid w:val="00904EFC"/>
    <w:rsid w:val="00927F07"/>
    <w:rsid w:val="009467C0"/>
    <w:rsid w:val="00982A6A"/>
    <w:rsid w:val="00986E52"/>
    <w:rsid w:val="009F5649"/>
    <w:rsid w:val="00A0717C"/>
    <w:rsid w:val="00A64882"/>
    <w:rsid w:val="00A67719"/>
    <w:rsid w:val="00A95063"/>
    <w:rsid w:val="00AB5D42"/>
    <w:rsid w:val="00B12EE3"/>
    <w:rsid w:val="00B17179"/>
    <w:rsid w:val="00C06DAC"/>
    <w:rsid w:val="00C100CB"/>
    <w:rsid w:val="00C13BBA"/>
    <w:rsid w:val="00C15ED0"/>
    <w:rsid w:val="00C31138"/>
    <w:rsid w:val="00C41C73"/>
    <w:rsid w:val="00C463F0"/>
    <w:rsid w:val="00CB2771"/>
    <w:rsid w:val="00CC0432"/>
    <w:rsid w:val="00CC4AA2"/>
    <w:rsid w:val="00CC58A3"/>
    <w:rsid w:val="00CC7C2A"/>
    <w:rsid w:val="00CF5126"/>
    <w:rsid w:val="00DF28C5"/>
    <w:rsid w:val="00E57B0D"/>
    <w:rsid w:val="00E86BA6"/>
    <w:rsid w:val="00EA3641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CC58A3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CC58A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qFormat/>
    <w:rsid w:val="00CC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C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C5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C58A3"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rsid w:val="00CC58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C58A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CC58A3"/>
  </w:style>
  <w:style w:type="character" w:customStyle="1" w:styleId="Char0">
    <w:name w:val="纯文本 Char"/>
    <w:basedOn w:val="a0"/>
    <w:link w:val="a4"/>
    <w:qFormat/>
    <w:rsid w:val="00CC58A3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CC58A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C58A3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A0717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071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7D61-F437-47C5-B993-E7F45945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235</Words>
  <Characters>1344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39</cp:revision>
  <dcterms:created xsi:type="dcterms:W3CDTF">2023-02-21T04:26:00Z</dcterms:created>
  <dcterms:modified xsi:type="dcterms:W3CDTF">2024-12-02T01:18:00Z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47DB7ABD06F14537BDD024153D12F85F</vt:lpwstr>
  </property>
</Properties>
</file>