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5D7100" w:rsidRDefault="00DE3DA2" w:rsidP="005D7100">
      <w:pPr>
        <w:pStyle w:val="a5"/>
        <w:ind w:firstLineChars="0" w:firstLine="0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5D7100" w:rsidRPr="005D7100">
        <w:rPr>
          <w:rFonts w:hint="eastAsia"/>
          <w:b/>
          <w:sz w:val="30"/>
          <w:szCs w:val="30"/>
        </w:rPr>
        <w:t>多普勒胎心听诊器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17"/>
        <w:gridCol w:w="2785"/>
        <w:gridCol w:w="1843"/>
        <w:gridCol w:w="1276"/>
        <w:gridCol w:w="1701"/>
      </w:tblGrid>
      <w:tr w:rsidR="003C6757" w:rsidRPr="00201A0C" w:rsidTr="002B27FF">
        <w:trPr>
          <w:trHeight w:val="460"/>
        </w:trPr>
        <w:tc>
          <w:tcPr>
            <w:tcW w:w="617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85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843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76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701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5D7100" w:rsidRPr="00201A0C" w:rsidTr="002B27FF">
        <w:trPr>
          <w:trHeight w:val="131"/>
        </w:trPr>
        <w:tc>
          <w:tcPr>
            <w:tcW w:w="617" w:type="dxa"/>
          </w:tcPr>
          <w:p w:rsidR="005D7100" w:rsidRDefault="00C953A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85" w:type="dxa"/>
          </w:tcPr>
          <w:p w:rsidR="005D7100" w:rsidRDefault="005D7100" w:rsidP="005D71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多普勒胎心听诊器</w:t>
            </w:r>
          </w:p>
          <w:p w:rsidR="005D7100" w:rsidRDefault="005D7100" w:rsidP="005D71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843" w:type="dxa"/>
          </w:tcPr>
          <w:p w:rsidR="005D7100" w:rsidRDefault="00C953A3" w:rsidP="008450AA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分院4台</w:t>
            </w:r>
          </w:p>
        </w:tc>
        <w:tc>
          <w:tcPr>
            <w:tcW w:w="1276" w:type="dxa"/>
          </w:tcPr>
          <w:p w:rsidR="005D7100" w:rsidRDefault="005D7100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5D7100" w:rsidRDefault="00C953A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3C6757" w:rsidRPr="00201A0C" w:rsidTr="002B27FF">
        <w:trPr>
          <w:trHeight w:val="131"/>
        </w:trPr>
        <w:tc>
          <w:tcPr>
            <w:tcW w:w="617" w:type="dxa"/>
          </w:tcPr>
          <w:p w:rsidR="003C6757" w:rsidRDefault="00C953A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85" w:type="dxa"/>
          </w:tcPr>
          <w:p w:rsidR="00907D24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胎心监护仪</w:t>
            </w:r>
          </w:p>
          <w:p w:rsidR="003C6757" w:rsidRDefault="00907D24" w:rsidP="00961853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843" w:type="dxa"/>
          </w:tcPr>
          <w:p w:rsidR="003C6757" w:rsidRDefault="003C6757" w:rsidP="008450AA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分院2台</w:t>
            </w:r>
          </w:p>
        </w:tc>
        <w:tc>
          <w:tcPr>
            <w:tcW w:w="1276" w:type="dxa"/>
          </w:tcPr>
          <w:p w:rsidR="003C6757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3C6757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8万元</w:t>
            </w:r>
          </w:p>
        </w:tc>
      </w:tr>
      <w:tr w:rsidR="003C6757" w:rsidRPr="00201A0C" w:rsidTr="002B27FF">
        <w:trPr>
          <w:trHeight w:val="551"/>
        </w:trPr>
        <w:tc>
          <w:tcPr>
            <w:tcW w:w="617" w:type="dxa"/>
          </w:tcPr>
          <w:p w:rsidR="003C6757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85" w:type="dxa"/>
          </w:tcPr>
          <w:p w:rsidR="003C6757" w:rsidRPr="003C6757" w:rsidRDefault="00907D24" w:rsidP="002B27FF">
            <w:pPr>
              <w:jc w:val="left"/>
              <w:rPr>
                <w:rFonts w:ascii="宋体" w:hAnsi="宋体"/>
                <w:szCs w:val="21"/>
              </w:rPr>
            </w:pPr>
            <w:r w:rsidRPr="00907D24">
              <w:rPr>
                <w:rFonts w:ascii="宋体" w:hAnsi="宋体" w:hint="eastAsia"/>
                <w:szCs w:val="21"/>
              </w:rPr>
              <w:t>全自动化学发光测定仪</w:t>
            </w:r>
          </w:p>
        </w:tc>
        <w:tc>
          <w:tcPr>
            <w:tcW w:w="1843" w:type="dxa"/>
          </w:tcPr>
          <w:p w:rsidR="003C6757" w:rsidRDefault="003C6757" w:rsidP="007969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总院1套</w:t>
            </w:r>
          </w:p>
        </w:tc>
        <w:tc>
          <w:tcPr>
            <w:tcW w:w="1276" w:type="dxa"/>
          </w:tcPr>
          <w:p w:rsidR="003C6757" w:rsidRDefault="003C6757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</w:t>
            </w:r>
            <w:r w:rsidR="009B5B9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3C6757" w:rsidRPr="00961853" w:rsidRDefault="00907D24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3C6757"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61A18" w:rsidRPr="00201A0C" w:rsidTr="002B27FF">
        <w:trPr>
          <w:trHeight w:val="551"/>
        </w:trPr>
        <w:tc>
          <w:tcPr>
            <w:tcW w:w="617" w:type="dxa"/>
          </w:tcPr>
          <w:p w:rsidR="00261A18" w:rsidRDefault="002B27F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785" w:type="dxa"/>
          </w:tcPr>
          <w:p w:rsidR="00261A18" w:rsidRPr="00907D24" w:rsidRDefault="00261A18" w:rsidP="002B27FF">
            <w:pPr>
              <w:jc w:val="left"/>
              <w:rPr>
                <w:rFonts w:ascii="宋体" w:hAnsi="宋体"/>
                <w:szCs w:val="21"/>
              </w:rPr>
            </w:pPr>
            <w:r w:rsidRPr="00261A18">
              <w:rPr>
                <w:rFonts w:ascii="宋体" w:hAnsi="宋体" w:hint="eastAsia"/>
                <w:szCs w:val="21"/>
              </w:rPr>
              <w:t>全自动医用PCR分析系统</w:t>
            </w:r>
          </w:p>
        </w:tc>
        <w:tc>
          <w:tcPr>
            <w:tcW w:w="1843" w:type="dxa"/>
          </w:tcPr>
          <w:p w:rsidR="00261A18" w:rsidRDefault="002B27FF" w:rsidP="007969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总院1套</w:t>
            </w:r>
          </w:p>
        </w:tc>
        <w:tc>
          <w:tcPr>
            <w:tcW w:w="1276" w:type="dxa"/>
          </w:tcPr>
          <w:p w:rsidR="00261A18" w:rsidRDefault="002B27FF" w:rsidP="002B27F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见附件2</w:t>
            </w:r>
          </w:p>
        </w:tc>
        <w:tc>
          <w:tcPr>
            <w:tcW w:w="1701" w:type="dxa"/>
          </w:tcPr>
          <w:p w:rsidR="00261A18" w:rsidRDefault="00261A18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05B7D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05B7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05B7D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2B0E2D" w:rsidRDefault="002F6BAF" w:rsidP="00803D10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65694" cy="1165694"/>
            <wp:effectExtent l="19050" t="0" r="0" b="0"/>
            <wp:docPr id="1" name="图片 1" descr="D:\微信资料\WeChat Files\wxid_0tjmequj87jh52\FileStorage\Temp\149e39feeee2ba2fbf9ca49b77aad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149e39feeee2ba2fbf9ca49b77aad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471" cy="116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BAF" w:rsidRPr="002F6BAF" w:rsidRDefault="002F6BAF" w:rsidP="00803D10">
      <w:pPr>
        <w:rPr>
          <w:b/>
          <w:sz w:val="18"/>
          <w:szCs w:val="18"/>
        </w:rPr>
      </w:pPr>
    </w:p>
    <w:p w:rsidR="003C6757" w:rsidRPr="009B5B93" w:rsidRDefault="003C6757" w:rsidP="003C6757">
      <w:pPr>
        <w:rPr>
          <w:b/>
          <w:sz w:val="18"/>
          <w:szCs w:val="18"/>
        </w:rPr>
      </w:pPr>
      <w:r w:rsidRPr="009B5B93">
        <w:rPr>
          <w:rFonts w:hint="eastAsia"/>
          <w:b/>
          <w:sz w:val="18"/>
          <w:szCs w:val="18"/>
        </w:rPr>
        <w:t>附件</w:t>
      </w:r>
      <w:r w:rsidRPr="009B5B93">
        <w:rPr>
          <w:rFonts w:hint="eastAsia"/>
          <w:b/>
          <w:sz w:val="18"/>
          <w:szCs w:val="18"/>
        </w:rPr>
        <w:t>1</w:t>
      </w:r>
      <w:r w:rsidRPr="009B5B93">
        <w:rPr>
          <w:rFonts w:hint="eastAsia"/>
          <w:b/>
          <w:sz w:val="18"/>
          <w:szCs w:val="18"/>
        </w:rPr>
        <w:t>：</w:t>
      </w:r>
      <w:r w:rsidR="00705B7D" w:rsidRPr="00705B7D">
        <w:rPr>
          <w:rFonts w:hint="eastAsia"/>
          <w:b/>
          <w:sz w:val="18"/>
          <w:szCs w:val="18"/>
        </w:rPr>
        <w:t>全自动化学发光测定仪器</w:t>
      </w:r>
      <w:r w:rsidRPr="009B5B93">
        <w:rPr>
          <w:rFonts w:hint="eastAsia"/>
          <w:b/>
          <w:sz w:val="18"/>
          <w:szCs w:val="18"/>
        </w:rPr>
        <w:t>技术要求</w:t>
      </w:r>
      <w:r w:rsidR="008271FD">
        <w:rPr>
          <w:rFonts w:hint="eastAsia"/>
          <w:b/>
          <w:sz w:val="18"/>
          <w:szCs w:val="18"/>
        </w:rPr>
        <w:t>：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1.</w:t>
      </w:r>
      <w:r w:rsidRPr="00705B7D">
        <w:rPr>
          <w:rFonts w:hint="eastAsia"/>
        </w:rPr>
        <w:t>反应原理：</w:t>
      </w:r>
      <w:proofErr w:type="gramStart"/>
      <w:r w:rsidRPr="00705B7D">
        <w:rPr>
          <w:rFonts w:hint="eastAsia"/>
        </w:rPr>
        <w:t>吖啶酯磁</w:t>
      </w:r>
      <w:proofErr w:type="gramEnd"/>
      <w:r w:rsidRPr="00705B7D">
        <w:rPr>
          <w:rFonts w:hint="eastAsia"/>
        </w:rPr>
        <w:t>微粒直接化学发光；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2.</w:t>
      </w:r>
      <w:r w:rsidRPr="00705B7D">
        <w:rPr>
          <w:rFonts w:hint="eastAsia"/>
        </w:rPr>
        <w:t>检测速度：单机≥</w:t>
      </w:r>
      <w:r w:rsidRPr="00705B7D">
        <w:t>2</w:t>
      </w:r>
      <w:r w:rsidRPr="00705B7D">
        <w:rPr>
          <w:rFonts w:hint="eastAsia"/>
        </w:rPr>
        <w:t>00</w:t>
      </w:r>
      <w:r w:rsidRPr="00705B7D">
        <w:rPr>
          <w:rFonts w:hint="eastAsia"/>
        </w:rPr>
        <w:t>测试</w:t>
      </w:r>
      <w:r w:rsidRPr="00705B7D">
        <w:rPr>
          <w:rFonts w:hint="eastAsia"/>
        </w:rPr>
        <w:t>/</w:t>
      </w:r>
      <w:r w:rsidRPr="00705B7D">
        <w:rPr>
          <w:rFonts w:hint="eastAsia"/>
        </w:rPr>
        <w:t>小时</w:t>
      </w:r>
      <w:r w:rsidRPr="00705B7D">
        <w:t>，</w:t>
      </w:r>
      <w:r w:rsidRPr="00705B7D">
        <w:rPr>
          <w:rFonts w:hint="eastAsia"/>
        </w:rPr>
        <w:t>支持≥</w:t>
      </w:r>
      <w:r w:rsidRPr="00705B7D">
        <w:t>2</w:t>
      </w:r>
      <w:r w:rsidRPr="00705B7D">
        <w:rPr>
          <w:rFonts w:hint="eastAsia"/>
        </w:rPr>
        <w:t>台模块联机；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3.</w:t>
      </w:r>
      <w:r w:rsidRPr="00705B7D">
        <w:rPr>
          <w:rFonts w:hint="eastAsia"/>
        </w:rPr>
        <w:t>单模块占地面积≤</w:t>
      </w:r>
      <w:r w:rsidRPr="00705B7D">
        <w:rPr>
          <w:rFonts w:hint="eastAsia"/>
        </w:rPr>
        <w:t>1</w:t>
      </w:r>
      <w:r w:rsidRPr="00705B7D">
        <w:t>㎡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4.</w:t>
      </w:r>
      <w:proofErr w:type="gramStart"/>
      <w:r w:rsidRPr="00705B7D">
        <w:rPr>
          <w:rFonts w:hint="eastAsia"/>
        </w:rPr>
        <w:t>首结果</w:t>
      </w:r>
      <w:proofErr w:type="gramEnd"/>
      <w:r w:rsidRPr="00705B7D">
        <w:rPr>
          <w:rFonts w:hint="eastAsia"/>
        </w:rPr>
        <w:t>的报告时间：≤</w:t>
      </w:r>
      <w:r w:rsidRPr="00705B7D">
        <w:rPr>
          <w:rFonts w:hint="eastAsia"/>
        </w:rPr>
        <w:t>1</w:t>
      </w:r>
      <w:r w:rsidRPr="00705B7D">
        <w:t>1</w:t>
      </w:r>
      <w:r w:rsidRPr="00705B7D">
        <w:rPr>
          <w:rFonts w:hint="eastAsia"/>
        </w:rPr>
        <w:t>分钟；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5.</w:t>
      </w:r>
      <w:r w:rsidRPr="00705B7D">
        <w:rPr>
          <w:rFonts w:hint="eastAsia"/>
        </w:rPr>
        <w:t>样本位：≥</w:t>
      </w:r>
      <w:r w:rsidRPr="00705B7D">
        <w:t>80</w:t>
      </w:r>
      <w:r w:rsidRPr="00705B7D">
        <w:rPr>
          <w:rFonts w:hint="eastAsia"/>
        </w:rPr>
        <w:t>个，具备单独急诊位；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6.</w:t>
      </w:r>
      <w:r w:rsidRPr="00705B7D">
        <w:rPr>
          <w:rFonts w:hint="eastAsia"/>
        </w:rPr>
        <w:t>加样针：</w:t>
      </w:r>
      <w:bookmarkStart w:id="0" w:name="_Hlk138681937"/>
      <w:r w:rsidRPr="00705B7D">
        <w:rPr>
          <w:rFonts w:hint="eastAsia"/>
        </w:rPr>
        <w:t>钢针</w:t>
      </w:r>
      <w:r w:rsidRPr="00705B7D">
        <w:t>，</w:t>
      </w:r>
      <w:r w:rsidRPr="00705B7D">
        <w:rPr>
          <w:rFonts w:hint="eastAsia"/>
        </w:rPr>
        <w:t>无需</w:t>
      </w:r>
      <w:r w:rsidRPr="00705B7D">
        <w:t>Tip</w:t>
      </w:r>
      <w:r w:rsidRPr="00705B7D">
        <w:rPr>
          <w:rFonts w:hint="eastAsia"/>
        </w:rPr>
        <w:t>头等耗材</w:t>
      </w:r>
      <w:r w:rsidRPr="00705B7D">
        <w:t>，</w:t>
      </w:r>
      <w:r w:rsidRPr="00705B7D">
        <w:rPr>
          <w:rFonts w:hint="eastAsia"/>
        </w:rPr>
        <w:t>携带污染率＜</w:t>
      </w:r>
      <w:r w:rsidRPr="00705B7D">
        <w:t>0</w:t>
      </w:r>
      <w:r w:rsidRPr="00705B7D">
        <w:rPr>
          <w:rFonts w:hint="eastAsia"/>
        </w:rPr>
        <w:t>.</w:t>
      </w:r>
      <w:r w:rsidRPr="00705B7D">
        <w:t>1</w:t>
      </w:r>
      <w:r w:rsidRPr="00705B7D">
        <w:rPr>
          <w:rFonts w:hint="eastAsia"/>
        </w:rPr>
        <w:t>ppm</w:t>
      </w:r>
      <w:r w:rsidRPr="00705B7D">
        <w:rPr>
          <w:rFonts w:hint="eastAsia"/>
        </w:rPr>
        <w:t>；</w:t>
      </w:r>
      <w:bookmarkEnd w:id="0"/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7.</w:t>
      </w:r>
      <w:r w:rsidRPr="00705B7D">
        <w:rPr>
          <w:rFonts w:hint="eastAsia"/>
        </w:rPr>
        <w:t>加样系统：支持液面检测、随量跟踪、立体防撞、空吸及</w:t>
      </w:r>
      <w:proofErr w:type="gramStart"/>
      <w:r w:rsidRPr="00705B7D">
        <w:rPr>
          <w:rFonts w:hint="eastAsia"/>
        </w:rPr>
        <w:t>凝块堵针检测</w:t>
      </w:r>
      <w:proofErr w:type="gramEnd"/>
      <w:r w:rsidRPr="00705B7D">
        <w:rPr>
          <w:rFonts w:hint="eastAsia"/>
        </w:rPr>
        <w:t>等功能；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8.</w:t>
      </w:r>
      <w:r w:rsidRPr="00705B7D">
        <w:rPr>
          <w:rFonts w:hint="eastAsia"/>
        </w:rPr>
        <w:t>试剂位：≥</w:t>
      </w:r>
      <w:r w:rsidRPr="00705B7D">
        <w:t>25</w:t>
      </w:r>
      <w:r w:rsidRPr="00705B7D">
        <w:rPr>
          <w:rFonts w:hint="eastAsia"/>
        </w:rPr>
        <w:t>个，具备磁珠试剂混匀功能和在线装载功能，独立制冷系统，</w:t>
      </w:r>
      <w:r w:rsidRPr="00705B7D">
        <w:t xml:space="preserve"> 24</w:t>
      </w:r>
      <w:r w:rsidRPr="00705B7D">
        <w:rPr>
          <w:rFonts w:hint="eastAsia"/>
        </w:rPr>
        <w:t>小时冷藏；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9.</w:t>
      </w:r>
      <w:r w:rsidRPr="00705B7D">
        <w:rPr>
          <w:rFonts w:hint="eastAsia"/>
        </w:rPr>
        <w:t>试剂盒：采用集成式设计，质控品、校准品均包含于试剂盒内，无需另购；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10.</w:t>
      </w:r>
      <w:r w:rsidRPr="00705B7D">
        <w:rPr>
          <w:rFonts w:hint="eastAsia"/>
        </w:rPr>
        <w:t>反应杯：≥</w:t>
      </w:r>
      <w:r w:rsidRPr="00705B7D">
        <w:rPr>
          <w:rFonts w:hint="eastAsia"/>
        </w:rPr>
        <w:t>1</w:t>
      </w:r>
      <w:r w:rsidRPr="00705B7D">
        <w:t>5</w:t>
      </w:r>
      <w:r w:rsidRPr="00705B7D">
        <w:rPr>
          <w:rFonts w:hint="eastAsia"/>
        </w:rPr>
        <w:t>00</w:t>
      </w:r>
      <w:r w:rsidRPr="00705B7D">
        <w:rPr>
          <w:rFonts w:hint="eastAsia"/>
        </w:rPr>
        <w:t>个</w:t>
      </w:r>
    </w:p>
    <w:p w:rsidR="00705B7D" w:rsidRPr="00705B7D" w:rsidRDefault="00705B7D" w:rsidP="00705B7D">
      <w:pPr>
        <w:spacing w:line="300" w:lineRule="auto"/>
      </w:pPr>
      <w:r w:rsidRPr="00705B7D">
        <w:rPr>
          <w:rFonts w:hint="eastAsia"/>
        </w:rPr>
        <w:t>11.</w:t>
      </w:r>
      <w:r w:rsidRPr="00705B7D">
        <w:rPr>
          <w:rFonts w:hint="eastAsia"/>
        </w:rPr>
        <w:t>需开展项目：胃功能三项（胃蛋白酶原</w:t>
      </w:r>
      <w:r w:rsidRPr="00705B7D">
        <w:rPr>
          <w:rFonts w:hint="eastAsia"/>
        </w:rPr>
        <w:t>I</w:t>
      </w:r>
      <w:r w:rsidRPr="00705B7D">
        <w:rPr>
          <w:rFonts w:hint="eastAsia"/>
        </w:rPr>
        <w:t>、胃蛋白酶原</w:t>
      </w:r>
      <w:r w:rsidRPr="00705B7D">
        <w:rPr>
          <w:rFonts w:hint="eastAsia"/>
        </w:rPr>
        <w:t>II</w:t>
      </w:r>
      <w:r w:rsidRPr="00705B7D">
        <w:rPr>
          <w:rFonts w:hint="eastAsia"/>
        </w:rPr>
        <w:t>、胃泌素</w:t>
      </w:r>
      <w:r w:rsidRPr="00705B7D">
        <w:rPr>
          <w:rFonts w:hint="eastAsia"/>
        </w:rPr>
        <w:t>G-17</w:t>
      </w:r>
      <w:r w:rsidRPr="00705B7D">
        <w:rPr>
          <w:rFonts w:hint="eastAsia"/>
        </w:rPr>
        <w:t>），肝纤维化五项（透明质酸</w:t>
      </w:r>
      <w:r w:rsidRPr="00705B7D">
        <w:t>、层粘连蛋白、</w:t>
      </w:r>
      <w:r w:rsidRPr="00705B7D">
        <w:t>III</w:t>
      </w:r>
      <w:proofErr w:type="gramStart"/>
      <w:r w:rsidRPr="00705B7D">
        <w:t>型前胶</w:t>
      </w:r>
      <w:proofErr w:type="gramEnd"/>
      <w:r w:rsidRPr="00705B7D">
        <w:t>N</w:t>
      </w:r>
      <w:r w:rsidRPr="00705B7D">
        <w:t>端肽、</w:t>
      </w:r>
      <w:r w:rsidRPr="00705B7D">
        <w:t>IV</w:t>
      </w:r>
      <w:r w:rsidRPr="00705B7D">
        <w:t>型胶原</w:t>
      </w:r>
      <w:r w:rsidRPr="00705B7D">
        <w:t>CIV</w:t>
      </w:r>
      <w:r w:rsidRPr="00705B7D">
        <w:t>、壳多糖酶</w:t>
      </w:r>
      <w:r w:rsidRPr="00705B7D">
        <w:t>3</w:t>
      </w:r>
      <w:r w:rsidRPr="00705B7D">
        <w:t>样蛋白</w:t>
      </w:r>
      <w:r w:rsidRPr="00705B7D">
        <w:t>1</w:t>
      </w:r>
      <w:r w:rsidRPr="00705B7D">
        <w:rPr>
          <w:rFonts w:hint="eastAsia"/>
        </w:rPr>
        <w:t>），生长因子三项（生长激素、胰岛素样生长因子</w:t>
      </w:r>
      <w:r w:rsidRPr="00705B7D">
        <w:rPr>
          <w:rFonts w:hint="eastAsia"/>
        </w:rPr>
        <w:t>1</w:t>
      </w:r>
      <w:r w:rsidRPr="00705B7D">
        <w:rPr>
          <w:rFonts w:hint="eastAsia"/>
        </w:rPr>
        <w:t>、胰岛素样生长因子结合蛋白</w:t>
      </w:r>
      <w:r w:rsidRPr="00705B7D">
        <w:rPr>
          <w:rFonts w:hint="eastAsia"/>
        </w:rPr>
        <w:t>3</w:t>
      </w:r>
      <w:r w:rsidRPr="00705B7D">
        <w:rPr>
          <w:rFonts w:hint="eastAsia"/>
        </w:rPr>
        <w:t>）、甲状腺功能（反</w:t>
      </w:r>
      <w:r w:rsidRPr="00705B7D">
        <w:rPr>
          <w:rFonts w:hint="eastAsia"/>
        </w:rPr>
        <w:lastRenderedPageBreak/>
        <w:t>三碘甲状腺原氨酸）。</w:t>
      </w:r>
    </w:p>
    <w:p w:rsidR="00705B7D" w:rsidRPr="006733F7" w:rsidRDefault="00705B7D" w:rsidP="00705B7D">
      <w:pPr>
        <w:ind w:firstLine="420"/>
      </w:pPr>
    </w:p>
    <w:p w:rsidR="009B5B93" w:rsidRPr="00705B7D" w:rsidRDefault="002B27FF" w:rsidP="00803D1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：</w:t>
      </w:r>
      <w:r w:rsidRPr="002B27FF">
        <w:rPr>
          <w:rFonts w:hint="eastAsia"/>
          <w:b/>
          <w:sz w:val="18"/>
          <w:szCs w:val="18"/>
        </w:rPr>
        <w:t>全自动医用</w:t>
      </w:r>
      <w:r w:rsidRPr="002B27FF">
        <w:rPr>
          <w:rFonts w:hint="eastAsia"/>
          <w:b/>
          <w:sz w:val="18"/>
          <w:szCs w:val="18"/>
        </w:rPr>
        <w:t>PCR</w:t>
      </w:r>
      <w:r w:rsidRPr="002B27FF">
        <w:rPr>
          <w:rFonts w:hint="eastAsia"/>
          <w:b/>
          <w:sz w:val="18"/>
          <w:szCs w:val="18"/>
        </w:rPr>
        <w:t>分析系统</w:t>
      </w:r>
      <w:r w:rsidRPr="009B5B93">
        <w:rPr>
          <w:rFonts w:hint="eastAsia"/>
          <w:b/>
          <w:sz w:val="18"/>
          <w:szCs w:val="18"/>
        </w:rPr>
        <w:t>技术要求</w:t>
      </w:r>
      <w:r>
        <w:rPr>
          <w:rFonts w:hint="eastAsia"/>
          <w:b/>
          <w:sz w:val="18"/>
          <w:szCs w:val="18"/>
        </w:rPr>
        <w:t>：</w:t>
      </w:r>
    </w:p>
    <w:p w:rsidR="002B27FF" w:rsidRPr="002B27FF" w:rsidRDefault="002B27FF" w:rsidP="002B27FF">
      <w:pPr>
        <w:spacing w:line="300" w:lineRule="auto"/>
      </w:pPr>
      <w:r w:rsidRPr="002B27FF">
        <w:rPr>
          <w:rFonts w:hint="eastAsia"/>
        </w:rPr>
        <w:t>1</w:t>
      </w:r>
      <w:r w:rsidRPr="002B27FF">
        <w:rPr>
          <w:rFonts w:hint="eastAsia"/>
        </w:rPr>
        <w:t>、检测灵敏度：可检测单拷贝基因。</w:t>
      </w:r>
    </w:p>
    <w:p w:rsidR="002B27FF" w:rsidRPr="002B27FF" w:rsidRDefault="002B27FF" w:rsidP="002B27FF">
      <w:pPr>
        <w:spacing w:line="300" w:lineRule="auto"/>
      </w:pPr>
      <w:r w:rsidRPr="002B27FF">
        <w:rPr>
          <w:rFonts w:hint="eastAsia"/>
        </w:rPr>
        <w:t>2</w:t>
      </w:r>
      <w:r w:rsidRPr="002B27FF">
        <w:rPr>
          <w:rFonts w:hint="eastAsia"/>
        </w:rPr>
        <w:t>、分析软件能支持定性、绝对定量，标准熔解曲线、终点法等等位基因分型、熔解曲线法基因分型、多色熔解曲线法、恒温扩增。</w:t>
      </w:r>
    </w:p>
    <w:p w:rsidR="002B27FF" w:rsidRPr="002B27FF" w:rsidRDefault="002B27FF" w:rsidP="002B27FF">
      <w:pPr>
        <w:spacing w:line="300" w:lineRule="auto"/>
      </w:pPr>
      <w:r w:rsidRPr="002B27FF">
        <w:rPr>
          <w:rFonts w:hint="eastAsia"/>
        </w:rPr>
        <w:t>3</w:t>
      </w:r>
      <w:r w:rsidRPr="002B27FF">
        <w:rPr>
          <w:rFonts w:hint="eastAsia"/>
        </w:rPr>
        <w:t>、能检测结核病筛查及耐药、耳聋基因等遗传基因项目。</w:t>
      </w:r>
    </w:p>
    <w:p w:rsidR="002B27FF" w:rsidRPr="002B27FF" w:rsidRDefault="009A0EC4" w:rsidP="002B27FF">
      <w:pPr>
        <w:spacing w:line="300" w:lineRule="auto"/>
      </w:pPr>
      <w:r>
        <w:rPr>
          <w:rFonts w:hint="eastAsia"/>
        </w:rPr>
        <w:t>4</w:t>
      </w:r>
      <w:r w:rsidR="002B27FF" w:rsidRPr="002B27FF">
        <w:rPr>
          <w:rFonts w:hint="eastAsia"/>
        </w:rPr>
        <w:t>、免费配套自动核酸提取仪一台，提取通量不少于</w:t>
      </w:r>
      <w:r w:rsidR="002B27FF" w:rsidRPr="002B27FF">
        <w:rPr>
          <w:rFonts w:hint="eastAsia"/>
        </w:rPr>
        <w:t>24</w:t>
      </w:r>
      <w:r w:rsidR="002B27FF" w:rsidRPr="002B27FF">
        <w:rPr>
          <w:rFonts w:hint="eastAsia"/>
        </w:rPr>
        <w:t>。</w:t>
      </w:r>
    </w:p>
    <w:p w:rsidR="002B27FF" w:rsidRPr="002B27FF" w:rsidRDefault="009A0EC4" w:rsidP="002B27FF">
      <w:pPr>
        <w:spacing w:line="300" w:lineRule="auto"/>
      </w:pPr>
      <w:r>
        <w:rPr>
          <w:rFonts w:hint="eastAsia"/>
        </w:rPr>
        <w:t>5</w:t>
      </w:r>
      <w:r w:rsidR="002B27FF" w:rsidRPr="002B27FF">
        <w:rPr>
          <w:rFonts w:hint="eastAsia"/>
        </w:rPr>
        <w:t>、免费提供除扩增试剂外的相关耗材。</w:t>
      </w:r>
    </w:p>
    <w:p w:rsidR="002B27FF" w:rsidRPr="002B27FF" w:rsidRDefault="009A0EC4" w:rsidP="002B27FF">
      <w:pPr>
        <w:spacing w:line="300" w:lineRule="auto"/>
      </w:pPr>
      <w:r>
        <w:rPr>
          <w:rFonts w:hint="eastAsia"/>
        </w:rPr>
        <w:t>6</w:t>
      </w:r>
      <w:r w:rsidR="002B27FF" w:rsidRPr="002B27FF">
        <w:rPr>
          <w:rFonts w:hint="eastAsia"/>
        </w:rPr>
        <w:t>、免费提供</w:t>
      </w:r>
      <w:r w:rsidR="002B27FF" w:rsidRPr="002B27FF">
        <w:rPr>
          <w:rFonts w:hint="eastAsia"/>
        </w:rPr>
        <w:t>LIS</w:t>
      </w:r>
      <w:r w:rsidR="002B27FF" w:rsidRPr="002B27FF">
        <w:rPr>
          <w:rFonts w:hint="eastAsia"/>
        </w:rPr>
        <w:t>接口。</w:t>
      </w:r>
    </w:p>
    <w:p w:rsidR="002B27FF" w:rsidRPr="002B27FF" w:rsidRDefault="009A0EC4" w:rsidP="002B27FF">
      <w:pPr>
        <w:spacing w:line="300" w:lineRule="auto"/>
      </w:pPr>
      <w:r>
        <w:rPr>
          <w:rFonts w:hint="eastAsia"/>
        </w:rPr>
        <w:t>7</w:t>
      </w:r>
      <w:r w:rsidR="002B27FF" w:rsidRPr="002B27FF">
        <w:rPr>
          <w:rFonts w:hint="eastAsia"/>
        </w:rPr>
        <w:t>、免费提供相关质控品。</w:t>
      </w:r>
    </w:p>
    <w:p w:rsidR="009B5B93" w:rsidRDefault="009B5B93" w:rsidP="00803D10">
      <w:pPr>
        <w:rPr>
          <w:b/>
          <w:sz w:val="18"/>
          <w:szCs w:val="18"/>
        </w:rPr>
      </w:pPr>
    </w:p>
    <w:p w:rsidR="009A0EC4" w:rsidRDefault="009A0EC4" w:rsidP="00803D10">
      <w:pPr>
        <w:rPr>
          <w:b/>
          <w:sz w:val="18"/>
          <w:szCs w:val="18"/>
        </w:rPr>
      </w:pPr>
    </w:p>
    <w:p w:rsidR="009A0EC4" w:rsidRPr="009A0EC4" w:rsidRDefault="009A0EC4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2B27FF">
        <w:rPr>
          <w:rFonts w:hint="eastAsia"/>
          <w:b/>
          <w:sz w:val="18"/>
          <w:szCs w:val="18"/>
        </w:rPr>
        <w:t>3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393AE09"/>
    <w:multiLevelType w:val="singleLevel"/>
    <w:tmpl w:val="E393A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49F7EA3"/>
    <w:multiLevelType w:val="singleLevel"/>
    <w:tmpl w:val="049F7E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509ADA"/>
    <w:multiLevelType w:val="singleLevel"/>
    <w:tmpl w:val="3D509A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0C52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A5884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33CF6"/>
    <w:rsid w:val="0025059E"/>
    <w:rsid w:val="00261A18"/>
    <w:rsid w:val="00263774"/>
    <w:rsid w:val="00270AFB"/>
    <w:rsid w:val="00272502"/>
    <w:rsid w:val="002733A2"/>
    <w:rsid w:val="0027375A"/>
    <w:rsid w:val="00284691"/>
    <w:rsid w:val="00284CC9"/>
    <w:rsid w:val="00293A18"/>
    <w:rsid w:val="002952EE"/>
    <w:rsid w:val="00297312"/>
    <w:rsid w:val="002B0E2D"/>
    <w:rsid w:val="002B27FF"/>
    <w:rsid w:val="002C5B06"/>
    <w:rsid w:val="002E662C"/>
    <w:rsid w:val="002F056F"/>
    <w:rsid w:val="002F1937"/>
    <w:rsid w:val="002F6BAF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4864"/>
    <w:rsid w:val="003B5E91"/>
    <w:rsid w:val="003C3320"/>
    <w:rsid w:val="003C5998"/>
    <w:rsid w:val="003C6757"/>
    <w:rsid w:val="003E51C6"/>
    <w:rsid w:val="003F44F3"/>
    <w:rsid w:val="004005B9"/>
    <w:rsid w:val="00404B0B"/>
    <w:rsid w:val="00417632"/>
    <w:rsid w:val="00421E67"/>
    <w:rsid w:val="004273EF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10D8"/>
    <w:rsid w:val="00593DAC"/>
    <w:rsid w:val="00594565"/>
    <w:rsid w:val="005A7F8B"/>
    <w:rsid w:val="005B50DF"/>
    <w:rsid w:val="005C434B"/>
    <w:rsid w:val="005D4E33"/>
    <w:rsid w:val="005D7100"/>
    <w:rsid w:val="005D7656"/>
    <w:rsid w:val="005E37B0"/>
    <w:rsid w:val="005E47BA"/>
    <w:rsid w:val="005E697C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03FD3"/>
    <w:rsid w:val="00705B7D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69D0"/>
    <w:rsid w:val="0079795D"/>
    <w:rsid w:val="00797F60"/>
    <w:rsid w:val="007A2FBA"/>
    <w:rsid w:val="007A3A8B"/>
    <w:rsid w:val="007A417F"/>
    <w:rsid w:val="007B1E36"/>
    <w:rsid w:val="007B218B"/>
    <w:rsid w:val="007B7969"/>
    <w:rsid w:val="007C1823"/>
    <w:rsid w:val="007C386D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271FD"/>
    <w:rsid w:val="008406CB"/>
    <w:rsid w:val="008450AA"/>
    <w:rsid w:val="008479D3"/>
    <w:rsid w:val="00850FA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C7082"/>
    <w:rsid w:val="008D0D20"/>
    <w:rsid w:val="008D1D99"/>
    <w:rsid w:val="008D4A9F"/>
    <w:rsid w:val="008F22B0"/>
    <w:rsid w:val="00903BBD"/>
    <w:rsid w:val="00907D24"/>
    <w:rsid w:val="00915938"/>
    <w:rsid w:val="00933F0E"/>
    <w:rsid w:val="0093679A"/>
    <w:rsid w:val="0095166A"/>
    <w:rsid w:val="00952839"/>
    <w:rsid w:val="00961853"/>
    <w:rsid w:val="009653A8"/>
    <w:rsid w:val="009702BA"/>
    <w:rsid w:val="009763D9"/>
    <w:rsid w:val="00976928"/>
    <w:rsid w:val="009879F1"/>
    <w:rsid w:val="00987CA8"/>
    <w:rsid w:val="0099516E"/>
    <w:rsid w:val="009A0EC4"/>
    <w:rsid w:val="009A6320"/>
    <w:rsid w:val="009B1152"/>
    <w:rsid w:val="009B5B93"/>
    <w:rsid w:val="009B669D"/>
    <w:rsid w:val="009C43AE"/>
    <w:rsid w:val="009C573A"/>
    <w:rsid w:val="009D4ED1"/>
    <w:rsid w:val="009F023F"/>
    <w:rsid w:val="009F459D"/>
    <w:rsid w:val="009F720B"/>
    <w:rsid w:val="00A20482"/>
    <w:rsid w:val="00A312B7"/>
    <w:rsid w:val="00A403CA"/>
    <w:rsid w:val="00A47132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51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53A3"/>
    <w:rsid w:val="00C97D51"/>
    <w:rsid w:val="00CA4B79"/>
    <w:rsid w:val="00CB1D99"/>
    <w:rsid w:val="00CB2350"/>
    <w:rsid w:val="00CC35BA"/>
    <w:rsid w:val="00CC66E9"/>
    <w:rsid w:val="00CC6845"/>
    <w:rsid w:val="00CE2127"/>
    <w:rsid w:val="00CE2FE8"/>
    <w:rsid w:val="00CE3708"/>
    <w:rsid w:val="00CE5C45"/>
    <w:rsid w:val="00CF2F87"/>
    <w:rsid w:val="00D0646A"/>
    <w:rsid w:val="00D14D08"/>
    <w:rsid w:val="00D309E5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47D0"/>
    <w:rsid w:val="00DD5C41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4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199</cp:revision>
  <dcterms:created xsi:type="dcterms:W3CDTF">2022-03-10T04:15:00Z</dcterms:created>
  <dcterms:modified xsi:type="dcterms:W3CDTF">2024-11-22T07:47:00Z</dcterms:modified>
</cp:coreProperties>
</file>