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Default="00CB2771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</w:p>
    <w:p w:rsidR="00CC58A3" w:rsidRDefault="006A14D6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 w:rsidRPr="006A14D6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消毒供应追溯管理系统</w:t>
      </w:r>
      <w:r w:rsidR="00CB2771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CC58A3" w:rsidRPr="006A14D6" w:rsidRDefault="00CC58A3">
      <w:pPr>
        <w:widowControl/>
        <w:ind w:leftChars="150" w:left="315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7"/>
        <w:tblW w:w="8364" w:type="dxa"/>
        <w:tblInd w:w="108" w:type="dxa"/>
        <w:tblLook w:val="04A0"/>
      </w:tblPr>
      <w:tblGrid>
        <w:gridCol w:w="709"/>
        <w:gridCol w:w="2835"/>
        <w:gridCol w:w="1418"/>
        <w:gridCol w:w="1417"/>
        <w:gridCol w:w="1985"/>
      </w:tblGrid>
      <w:tr w:rsidR="00CC58A3" w:rsidTr="00BD3F16">
        <w:tc>
          <w:tcPr>
            <w:tcW w:w="709" w:type="dxa"/>
          </w:tcPr>
          <w:p w:rsidR="00CC58A3" w:rsidRDefault="00CB2771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835" w:type="dxa"/>
          </w:tcPr>
          <w:p w:rsidR="00CC58A3" w:rsidRDefault="00CB2771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418" w:type="dxa"/>
          </w:tcPr>
          <w:p w:rsidR="00CC58A3" w:rsidRDefault="00CB2771" w:rsidP="00BD3F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C58A3" w:rsidRDefault="00A81E58" w:rsidP="00BD3F16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</w:t>
            </w:r>
            <w:r w:rsidR="00CB2771"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1985" w:type="dxa"/>
          </w:tcPr>
          <w:p w:rsidR="00CC58A3" w:rsidRDefault="00CB2771" w:rsidP="00BD3F16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CC58A3" w:rsidRDefault="00CC58A3" w:rsidP="00BD3F16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C58A3" w:rsidTr="00BD3F16">
        <w:tc>
          <w:tcPr>
            <w:tcW w:w="709" w:type="dxa"/>
            <w:vAlign w:val="center"/>
          </w:tcPr>
          <w:p w:rsidR="00CC58A3" w:rsidRDefault="00CB2771" w:rsidP="00A81E58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C58A3" w:rsidRDefault="006A14D6" w:rsidP="00600D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14D6">
              <w:rPr>
                <w:rFonts w:asciiTheme="minorEastAsia" w:hAnsiTheme="minorEastAsia" w:cs="宋体" w:hint="eastAsia"/>
                <w:kern w:val="0"/>
                <w:szCs w:val="21"/>
              </w:rPr>
              <w:t>消毒供应追溯管理系统项目</w:t>
            </w:r>
          </w:p>
        </w:tc>
        <w:tc>
          <w:tcPr>
            <w:tcW w:w="1418" w:type="dxa"/>
            <w:vAlign w:val="center"/>
          </w:tcPr>
          <w:p w:rsidR="00CC58A3" w:rsidRDefault="00CB2771" w:rsidP="00BD3F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1项</w:t>
            </w:r>
          </w:p>
        </w:tc>
        <w:tc>
          <w:tcPr>
            <w:tcW w:w="1417" w:type="dxa"/>
            <w:vAlign w:val="center"/>
          </w:tcPr>
          <w:p w:rsidR="00CC58A3" w:rsidRDefault="004773DD" w:rsidP="00BD3F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见附件</w:t>
            </w:r>
          </w:p>
        </w:tc>
        <w:tc>
          <w:tcPr>
            <w:tcW w:w="1985" w:type="dxa"/>
            <w:vAlign w:val="center"/>
          </w:tcPr>
          <w:p w:rsidR="00CC58A3" w:rsidRDefault="006A14D6" w:rsidP="00BD3F16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11D62">
              <w:rPr>
                <w:rFonts w:ascii="宋体" w:hAnsi="宋体" w:cs="Arial" w:hint="eastAsia"/>
                <w:bCs/>
                <w:sz w:val="24"/>
              </w:rPr>
              <w:t>29.5</w:t>
            </w:r>
            <w:r w:rsidR="00CB2771">
              <w:rPr>
                <w:rFonts w:ascii="宋体" w:hAnsi="宋体" w:cs="Arial" w:hint="eastAsia"/>
                <w:bCs/>
                <w:sz w:val="24"/>
              </w:rPr>
              <w:t>万</w:t>
            </w:r>
            <w:r w:rsidR="00C06DAC">
              <w:rPr>
                <w:rFonts w:ascii="宋体" w:hAnsi="宋体" w:cs="Arial" w:hint="eastAsia"/>
                <w:bCs/>
                <w:sz w:val="24"/>
              </w:rPr>
              <w:t>元</w:t>
            </w:r>
          </w:p>
        </w:tc>
      </w:tr>
    </w:tbl>
    <w:p w:rsidR="00CC58A3" w:rsidRDefault="00CB2771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二、项目概况</w:t>
      </w:r>
    </w:p>
    <w:p w:rsidR="00524161" w:rsidRDefault="00BD3F16" w:rsidP="00524161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为了完善医院消毒供应中心的质量管理，保证供应</w:t>
      </w:r>
      <w:r w:rsidR="00524161" w:rsidRPr="00524161">
        <w:rPr>
          <w:rFonts w:asciiTheme="minorEastAsia" w:hAnsiTheme="minorEastAsia" w:cs="宋体" w:hint="eastAsia"/>
          <w:kern w:val="0"/>
          <w:szCs w:val="21"/>
        </w:rPr>
        <w:t>物品安全，拟采购</w:t>
      </w:r>
      <w:r w:rsidR="00524161" w:rsidRPr="006A14D6">
        <w:rPr>
          <w:rFonts w:asciiTheme="minorEastAsia" w:hAnsiTheme="minorEastAsia" w:cs="宋体" w:hint="eastAsia"/>
          <w:kern w:val="0"/>
          <w:szCs w:val="21"/>
        </w:rPr>
        <w:t>消毒供应追溯管理系统</w:t>
      </w:r>
      <w:r w:rsidR="00524161">
        <w:rPr>
          <w:rFonts w:asciiTheme="minorEastAsia" w:hAnsiTheme="minorEastAsia" w:cs="宋体" w:hint="eastAsia"/>
          <w:kern w:val="0"/>
          <w:szCs w:val="21"/>
        </w:rPr>
        <w:t>，欢迎</w:t>
      </w:r>
      <w:r w:rsidR="00524161" w:rsidRPr="00524161">
        <w:rPr>
          <w:rFonts w:asciiTheme="minorEastAsia" w:hAnsiTheme="minorEastAsia" w:cs="宋体" w:hint="eastAsia"/>
          <w:kern w:val="0"/>
          <w:szCs w:val="21"/>
        </w:rPr>
        <w:t>有相关资质和能力的供应商前来参加</w:t>
      </w:r>
      <w:r w:rsidR="00524161">
        <w:rPr>
          <w:rFonts w:asciiTheme="minorEastAsia" w:hAnsiTheme="minorEastAsia" w:cs="宋体" w:hint="eastAsia"/>
          <w:kern w:val="0"/>
          <w:szCs w:val="21"/>
        </w:rPr>
        <w:t>：</w:t>
      </w:r>
    </w:p>
    <w:p w:rsidR="00CC58A3" w:rsidRDefault="00CB2771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三、设备清单</w:t>
      </w:r>
      <w:r w:rsidR="00524161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W w:w="8364" w:type="dxa"/>
        <w:tblInd w:w="108" w:type="dxa"/>
        <w:tblLook w:val="04A0"/>
      </w:tblPr>
      <w:tblGrid>
        <w:gridCol w:w="720"/>
        <w:gridCol w:w="4242"/>
        <w:gridCol w:w="1984"/>
        <w:gridCol w:w="1418"/>
      </w:tblGrid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单位</w:t>
            </w:r>
          </w:p>
        </w:tc>
      </w:tr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zCs w:val="21"/>
              </w:rPr>
              <w:t>消毒供应追溯管理系统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套</w:t>
            </w:r>
          </w:p>
        </w:tc>
      </w:tr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手持PDA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台</w:t>
            </w:r>
          </w:p>
        </w:tc>
      </w:tr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高拍仪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台</w:t>
            </w:r>
          </w:p>
        </w:tc>
      </w:tr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专用打印机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台</w:t>
            </w:r>
          </w:p>
        </w:tc>
      </w:tr>
      <w:tr w:rsidR="00524161" w:rsidTr="00524161">
        <w:trPr>
          <w:trHeight w:val="5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1E1376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 w:themeColor="text1"/>
              </w:rPr>
              <w:t>手术器械包标识牌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61" w:rsidRDefault="00524161" w:rsidP="003A032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个</w:t>
            </w:r>
            <w:proofErr w:type="gramEnd"/>
          </w:p>
        </w:tc>
      </w:tr>
    </w:tbl>
    <w:p w:rsidR="00524161" w:rsidRDefault="00524161" w:rsidP="00655869">
      <w:pPr>
        <w:rPr>
          <w:rFonts w:asciiTheme="minorEastAsia" w:hAnsiTheme="minorEastAsia" w:cs="宋体"/>
          <w:kern w:val="0"/>
          <w:szCs w:val="21"/>
        </w:rPr>
      </w:pPr>
    </w:p>
    <w:p w:rsidR="00CC58A3" w:rsidRDefault="00CB2771" w:rsidP="0065586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四、投标要求：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（一）</w:t>
      </w:r>
      <w:r>
        <w:rPr>
          <w:rFonts w:asciiTheme="minorEastAsia" w:hAnsiTheme="minorEastAsia" w:cs="宋体"/>
          <w:kern w:val="0"/>
          <w:szCs w:val="21"/>
        </w:rPr>
        <w:t>投标人资格要求：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）具有独立承担民事责任的能力；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（2）具有良好的商业信誉和健全的财务会计制度；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（3）具有履行合同所必需的设备和专业技术能力；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（4）有依法缴纳税收和社会保障资金的良好记录；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（5）参加政府采购活动前三年内，在经营活动中没有重大违法记录；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（6）法律、行政法规规定的其他条件。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/>
          <w:kern w:val="0"/>
          <w:szCs w:val="21"/>
        </w:rPr>
        <w:t>）本项目不接受联合体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（二）参与投标应提供以下资料（标书一正三副，正本须加盖红章）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（1）营业执照</w:t>
      </w:r>
      <w:r w:rsidR="004533BE">
        <w:rPr>
          <w:rFonts w:asciiTheme="minorEastAsia" w:hAnsiTheme="minorEastAsia" w:cs="宋体" w:hint="eastAsia"/>
          <w:kern w:val="0"/>
          <w:szCs w:val="21"/>
        </w:rPr>
        <w:t>及相关资质证明</w:t>
      </w:r>
      <w:r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4533BE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）相关品牌产品代理授权书（复印件）；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4533BE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4533BE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）产品质量保证书、廉洁承诺书；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4533BE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）投标一览表及投标报价表；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655869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</w:t>
      </w:r>
      <w:r w:rsidR="004533BE">
        <w:rPr>
          <w:rFonts w:asciiTheme="minorEastAsia" w:hAnsiTheme="minorEastAsia" w:cs="宋体" w:hint="eastAsia"/>
          <w:kern w:val="0"/>
          <w:szCs w:val="21"/>
        </w:rPr>
        <w:t>同类项目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BD3F16" w:rsidRDefault="00BD3F16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（7）项目实施方案；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BD3F16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）售后服务承诺及培训计划；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（</w:t>
      </w:r>
      <w:r w:rsidR="00BD3F16">
        <w:rPr>
          <w:rFonts w:asciiTheme="minorEastAsia" w:hAnsiTheme="minorEastAsia" w:cs="宋体" w:hint="eastAsia"/>
          <w:kern w:val="0"/>
          <w:szCs w:val="21"/>
        </w:rPr>
        <w:t>10</w:t>
      </w:r>
      <w:r>
        <w:rPr>
          <w:rFonts w:asciiTheme="minorEastAsia" w:hAnsiTheme="minorEastAsia" w:cs="宋体" w:hint="eastAsia"/>
          <w:kern w:val="0"/>
          <w:szCs w:val="21"/>
        </w:rPr>
        <w:t>）所投的标书应包含但不限于上述资料，装订成册，不接收活页形式或通过夹子成型的标书。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五、报名事项：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</w:t>
      </w:r>
      <w:r w:rsidR="001E1376">
        <w:rPr>
          <w:rFonts w:asciiTheme="minorEastAsia" w:hAnsiTheme="minorEastAsia" w:cs="宋体" w:hint="eastAsia"/>
          <w:kern w:val="0"/>
          <w:szCs w:val="21"/>
        </w:rPr>
        <w:t>东院区11</w:t>
      </w:r>
      <w:r>
        <w:rPr>
          <w:rFonts w:asciiTheme="minorEastAsia" w:hAnsiTheme="minorEastAsia" w:cs="宋体" w:hint="eastAsia"/>
          <w:kern w:val="0"/>
          <w:szCs w:val="21"/>
        </w:rPr>
        <w:t>楼</w:t>
      </w:r>
      <w:r w:rsidR="001E1376">
        <w:rPr>
          <w:rFonts w:asciiTheme="minorEastAsia" w:hAnsiTheme="minorEastAsia" w:cs="宋体" w:hint="eastAsia"/>
          <w:kern w:val="0"/>
          <w:szCs w:val="21"/>
        </w:rPr>
        <w:t>1114</w:t>
      </w:r>
      <w:r>
        <w:rPr>
          <w:rFonts w:asciiTheme="minorEastAsia" w:hAnsiTheme="minorEastAsia" w:cs="宋体" w:hint="eastAsia"/>
          <w:kern w:val="0"/>
          <w:szCs w:val="21"/>
        </w:rPr>
        <w:t>室）报名，</w:t>
      </w:r>
      <w:r w:rsidR="001E1376">
        <w:rPr>
          <w:rFonts w:asciiTheme="minorEastAsia" w:hAnsiTheme="minorEastAsia" w:cs="宋体" w:hint="eastAsia"/>
          <w:kern w:val="0"/>
          <w:szCs w:val="21"/>
        </w:rPr>
        <w:t>或者</w:t>
      </w:r>
      <w:proofErr w:type="gramStart"/>
      <w:r w:rsidR="001E1376">
        <w:rPr>
          <w:rFonts w:asciiTheme="minorEastAsia" w:hAnsiTheme="minorEastAsia" w:cs="宋体" w:hint="eastAsia"/>
          <w:kern w:val="0"/>
          <w:szCs w:val="21"/>
        </w:rPr>
        <w:t>扫二维码</w:t>
      </w:r>
      <w:proofErr w:type="gramEnd"/>
      <w:r w:rsidR="001E1376">
        <w:rPr>
          <w:rFonts w:asciiTheme="minorEastAsia" w:hAnsiTheme="minorEastAsia" w:cs="宋体" w:hint="eastAsia"/>
          <w:kern w:val="0"/>
          <w:szCs w:val="21"/>
        </w:rPr>
        <w:t>报名，</w:t>
      </w:r>
      <w:r>
        <w:rPr>
          <w:rFonts w:asciiTheme="minorEastAsia" w:hAnsiTheme="minorEastAsia" w:cs="宋体" w:hint="eastAsia"/>
          <w:kern w:val="0"/>
          <w:szCs w:val="21"/>
        </w:rPr>
        <w:t>联系人：蔡老师、肖老师，联系电话：0574-87016979。报名截止时间202</w:t>
      </w:r>
      <w:r w:rsidR="001E1376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1E1376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1E1376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（2）本次议标定于202</w:t>
      </w:r>
      <w:r w:rsidR="001E1376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1E1376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1E1376">
        <w:rPr>
          <w:rFonts w:asciiTheme="minorEastAsia" w:hAnsiTheme="minorEastAsia" w:cs="宋体" w:hint="eastAsia"/>
          <w:kern w:val="0"/>
          <w:szCs w:val="21"/>
        </w:rPr>
        <w:t>13</w:t>
      </w:r>
      <w:r w:rsidRPr="00C06DAC">
        <w:rPr>
          <w:rFonts w:asciiTheme="minorEastAsia" w:hAnsiTheme="minorEastAsia" w:cs="宋体" w:hint="eastAsia"/>
          <w:kern w:val="0"/>
          <w:szCs w:val="21"/>
        </w:rPr>
        <w:t>日</w:t>
      </w:r>
      <w:r w:rsidR="00627A9A" w:rsidRPr="00C06DAC">
        <w:rPr>
          <w:rFonts w:asciiTheme="minorEastAsia" w:hAnsiTheme="minorEastAsia" w:cs="宋体" w:hint="eastAsia"/>
          <w:kern w:val="0"/>
          <w:szCs w:val="21"/>
        </w:rPr>
        <w:t>9</w:t>
      </w:r>
      <w:r w:rsidRPr="00C06DAC">
        <w:rPr>
          <w:rFonts w:asciiTheme="minorEastAsia" w:hAnsiTheme="minorEastAsia" w:cs="宋体" w:hint="eastAsia"/>
          <w:kern w:val="0"/>
          <w:szCs w:val="21"/>
        </w:rPr>
        <w:t>时</w:t>
      </w:r>
      <w:r>
        <w:rPr>
          <w:rFonts w:asciiTheme="minorEastAsia" w:hAnsiTheme="minorEastAsia" w:cs="宋体" w:hint="eastAsia"/>
          <w:kern w:val="0"/>
          <w:szCs w:val="21"/>
        </w:rPr>
        <w:t>，地点：16号楼</w:t>
      </w:r>
      <w:r w:rsidR="001E1376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楼</w:t>
      </w:r>
      <w:r w:rsidR="001E1376">
        <w:rPr>
          <w:rFonts w:asciiTheme="minorEastAsia" w:hAnsiTheme="minorEastAsia" w:cs="宋体" w:hint="eastAsia"/>
          <w:kern w:val="0"/>
          <w:szCs w:val="21"/>
        </w:rPr>
        <w:t>218</w:t>
      </w:r>
      <w:r>
        <w:rPr>
          <w:rFonts w:asciiTheme="minorEastAsia" w:hAnsiTheme="minorEastAsia" w:cs="宋体" w:hint="eastAsia"/>
          <w:kern w:val="0"/>
          <w:szCs w:val="21"/>
        </w:rPr>
        <w:t>会议室。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340841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）我院为无烟医院，文明单位，院区内严禁吸烟，并要求严格做好垃圾分类，请投标人自觉遵守。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六、评标方法：本次采购采用议标的方式，采用综合评分法，中标结果以宁波大学附属人民医院外网公示、电话通知为准。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七、商务条款：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（1）交货方式：按院方实际需要供货。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（2）交货时间：中标后</w:t>
      </w:r>
      <w:r w:rsidRPr="00D076E6">
        <w:rPr>
          <w:rFonts w:asciiTheme="minorEastAsia" w:hAnsiTheme="minorEastAsia" w:cs="宋体" w:hint="eastAsia"/>
          <w:kern w:val="0"/>
          <w:szCs w:val="21"/>
        </w:rPr>
        <w:t>30天内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（3）付款方式：项目验收合格后3个月内</w:t>
      </w:r>
      <w:r w:rsidR="001E1376">
        <w:rPr>
          <w:rFonts w:asciiTheme="minorEastAsia" w:hAnsiTheme="minorEastAsia" w:cs="宋体" w:hint="eastAsia"/>
          <w:kern w:val="0"/>
          <w:szCs w:val="21"/>
        </w:rPr>
        <w:t>支付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（4）售后服务：设备应有</w:t>
      </w:r>
      <w:r w:rsidR="00D076E6" w:rsidRPr="00D076E6">
        <w:rPr>
          <w:rFonts w:asciiTheme="minorEastAsia" w:hAnsiTheme="minorEastAsia" w:cs="宋体" w:hint="eastAsia"/>
          <w:kern w:val="0"/>
          <w:szCs w:val="21"/>
        </w:rPr>
        <w:t>1</w:t>
      </w:r>
      <w:r w:rsidRPr="00D076E6">
        <w:rPr>
          <w:rFonts w:asciiTheme="minorEastAsia" w:hAnsiTheme="minorEastAsia" w:cs="宋体" w:hint="eastAsia"/>
          <w:kern w:val="0"/>
          <w:szCs w:val="21"/>
        </w:rPr>
        <w:t>年及以</w:t>
      </w:r>
      <w:r>
        <w:rPr>
          <w:rFonts w:asciiTheme="minorEastAsia" w:hAnsiTheme="minorEastAsia" w:cs="宋体" w:hint="eastAsia"/>
          <w:kern w:val="0"/>
          <w:szCs w:val="21"/>
        </w:rPr>
        <w:t>上的原厂质保期。</w:t>
      </w:r>
    </w:p>
    <w:p w:rsidR="00CC58A3" w:rsidRDefault="00CB2771" w:rsidP="0065586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（5）技术支持：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应提供设备使用的技术支持或培训。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Default="00CB2771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CC58A3" w:rsidRDefault="00CB2771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1E1376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1E1376">
        <w:rPr>
          <w:rFonts w:asciiTheme="minorEastAsia" w:hAnsiTheme="minorEastAsia" w:cs="宋体" w:hint="eastAsia"/>
          <w:kern w:val="0"/>
          <w:szCs w:val="21"/>
        </w:rPr>
        <w:t>11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1E1376">
        <w:rPr>
          <w:rFonts w:asciiTheme="minorEastAsia" w:hAnsiTheme="minorEastAsia" w:cs="宋体" w:hint="eastAsia"/>
          <w:kern w:val="0"/>
          <w:szCs w:val="21"/>
        </w:rPr>
        <w:t>7</w:t>
      </w:r>
      <w:r w:rsidRPr="00C06DAC">
        <w:rPr>
          <w:rFonts w:asciiTheme="minorEastAsia" w:hAnsiTheme="minorEastAsia" w:cs="宋体" w:hint="eastAsia"/>
          <w:kern w:val="0"/>
          <w:szCs w:val="21"/>
        </w:rPr>
        <w:t>日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</w:p>
    <w:p w:rsidR="000E4EEF" w:rsidRDefault="000E4EEF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</w:p>
    <w:p w:rsidR="000E4EEF" w:rsidRPr="000E4EEF" w:rsidRDefault="000E4EEF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457325" cy="1457325"/>
            <wp:effectExtent l="19050" t="0" r="9525" b="0"/>
            <wp:docPr id="1" name="图片 1" descr="D:\微信资料\WeChat Files\wxid_0tjmequj87jh52\FileStorage\Temp\84c20c9b00c2ffe33e9d58fb7dc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84c20c9b00c2ffe33e9d58fb7dc7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8A3" w:rsidRDefault="00CC58A3">
      <w:pPr>
        <w:rPr>
          <w:rFonts w:asciiTheme="minorEastAsia" w:hAnsiTheme="minorEastAsia" w:cs="宋体"/>
          <w:kern w:val="0"/>
          <w:szCs w:val="21"/>
        </w:rPr>
      </w:pPr>
    </w:p>
    <w:p w:rsidR="00CC58A3" w:rsidRDefault="00CC58A3">
      <w:pPr>
        <w:rPr>
          <w:rFonts w:asciiTheme="minorEastAsia" w:hAnsiTheme="minorEastAsia" w:cs="宋体"/>
          <w:kern w:val="0"/>
          <w:szCs w:val="21"/>
        </w:rPr>
      </w:pPr>
    </w:p>
    <w:p w:rsidR="00CC58A3" w:rsidRDefault="00CB2771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CC58A3" w:rsidRPr="00475DDB" w:rsidRDefault="003D45B1" w:rsidP="00172EAC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附件：项目评分表</w:t>
      </w:r>
      <w:r w:rsidR="00A81E58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A97922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A97922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根据供应商针对该项目提供的服务人员资质、服务能力、</w:t>
            </w:r>
            <w:r w:rsidRPr="00804843">
              <w:rPr>
                <w:rFonts w:asciiTheme="minorEastAsia" w:hAnsiTheme="minorEastAsia" w:hint="eastAsia"/>
              </w:rPr>
              <w:t>劳动安排合理性</w:t>
            </w:r>
            <w:r>
              <w:rPr>
                <w:rFonts w:ascii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3D45B1" w:rsidRPr="00804843" w:rsidRDefault="003D45B1" w:rsidP="00C31138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技术参数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综合评议。最高</w:t>
            </w:r>
            <w:r w:rsidRPr="00804843">
              <w:rPr>
                <w:rFonts w:asciiTheme="minorEastAsia" w:hAnsiTheme="minorEastAsia" w:hint="eastAsia"/>
              </w:rPr>
              <w:t>20分，每一条带“</w:t>
            </w:r>
            <w:r w:rsidR="00475DDB" w:rsidRPr="00600D2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804843">
              <w:rPr>
                <w:rFonts w:asciiTheme="minorEastAsia" w:hAnsiTheme="minorEastAsia" w:hint="eastAsia"/>
              </w:rPr>
              <w:t>”要求的负偏离扣2分，其它每一条负偏离扣1分。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根据供应商对本项目的实施方案设计的完整性、、先进性、合理性，工作时间进度计划、工作程序和步骤、质量管理和保障措施可行性、及与院方配合方案等进行综合评议。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质保期后的维护费用报价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（10分）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41" w:rsidRDefault="00340841" w:rsidP="00340841">
      <w:r>
        <w:separator/>
      </w:r>
    </w:p>
  </w:endnote>
  <w:endnote w:type="continuationSeparator" w:id="0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41" w:rsidRDefault="00340841" w:rsidP="00340841">
      <w:r>
        <w:separator/>
      </w:r>
    </w:p>
  </w:footnote>
  <w:footnote w:type="continuationSeparator" w:id="0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B6E80"/>
    <w:rsid w:val="000E4EEF"/>
    <w:rsid w:val="001031FE"/>
    <w:rsid w:val="00165620"/>
    <w:rsid w:val="00172EAC"/>
    <w:rsid w:val="001E1376"/>
    <w:rsid w:val="00211D62"/>
    <w:rsid w:val="00340841"/>
    <w:rsid w:val="003D45B1"/>
    <w:rsid w:val="00435280"/>
    <w:rsid w:val="004533BE"/>
    <w:rsid w:val="00462E30"/>
    <w:rsid w:val="00475DDB"/>
    <w:rsid w:val="004773DD"/>
    <w:rsid w:val="00520E40"/>
    <w:rsid w:val="00522595"/>
    <w:rsid w:val="00524161"/>
    <w:rsid w:val="00600D27"/>
    <w:rsid w:val="00627A9A"/>
    <w:rsid w:val="00655869"/>
    <w:rsid w:val="006A14D6"/>
    <w:rsid w:val="00885CCF"/>
    <w:rsid w:val="00986E52"/>
    <w:rsid w:val="009F5649"/>
    <w:rsid w:val="00A64882"/>
    <w:rsid w:val="00A67719"/>
    <w:rsid w:val="00A81E58"/>
    <w:rsid w:val="00A97922"/>
    <w:rsid w:val="00BA23AD"/>
    <w:rsid w:val="00BD3F16"/>
    <w:rsid w:val="00BF352C"/>
    <w:rsid w:val="00C06DAC"/>
    <w:rsid w:val="00C100CB"/>
    <w:rsid w:val="00C13BBA"/>
    <w:rsid w:val="00C31138"/>
    <w:rsid w:val="00C41C73"/>
    <w:rsid w:val="00C60A82"/>
    <w:rsid w:val="00CB2771"/>
    <w:rsid w:val="00CC58A3"/>
    <w:rsid w:val="00CC7C2A"/>
    <w:rsid w:val="00CF5126"/>
    <w:rsid w:val="00D076E6"/>
    <w:rsid w:val="00DF28C5"/>
    <w:rsid w:val="00E57B0D"/>
    <w:rsid w:val="00EA3641"/>
    <w:rsid w:val="00ED5804"/>
    <w:rsid w:val="00F1253D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0E4EE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E4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EACA-8D78-43CB-803E-DDD948E8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36</cp:revision>
  <dcterms:created xsi:type="dcterms:W3CDTF">2023-02-21T04:26:00Z</dcterms:created>
  <dcterms:modified xsi:type="dcterms:W3CDTF">2024-11-08T00:43:00Z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