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624C91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1C3527" w:rsidRPr="001C3527">
        <w:rPr>
          <w:rFonts w:hint="eastAsia"/>
          <w:b/>
          <w:sz w:val="30"/>
          <w:szCs w:val="30"/>
        </w:rPr>
        <w:t>口腔综合治疗椅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268"/>
        <w:gridCol w:w="1985"/>
        <w:gridCol w:w="2268"/>
        <w:gridCol w:w="1184"/>
      </w:tblGrid>
      <w:tr w:rsidR="008B63FE" w:rsidRPr="00201A0C" w:rsidTr="00961853">
        <w:trPr>
          <w:trHeight w:val="460"/>
        </w:trPr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5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268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184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C53104" w:rsidRPr="00201A0C" w:rsidTr="00C53104">
        <w:trPr>
          <w:trHeight w:val="232"/>
        </w:trPr>
        <w:tc>
          <w:tcPr>
            <w:tcW w:w="709" w:type="dxa"/>
            <w:vMerge w:val="restart"/>
          </w:tcPr>
          <w:p w:rsidR="00C53104" w:rsidRDefault="000076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vMerge w:val="restart"/>
          </w:tcPr>
          <w:p w:rsidR="00C53104" w:rsidRPr="004B3EBF" w:rsidRDefault="00C53104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口腔综合治疗椅</w:t>
            </w:r>
          </w:p>
        </w:tc>
        <w:tc>
          <w:tcPr>
            <w:tcW w:w="1985" w:type="dxa"/>
          </w:tcPr>
          <w:p w:rsidR="00C53104" w:rsidRDefault="00C53104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东柳分院1台</w:t>
            </w:r>
          </w:p>
        </w:tc>
        <w:tc>
          <w:tcPr>
            <w:tcW w:w="2268" w:type="dxa"/>
            <w:vMerge w:val="restart"/>
          </w:tcPr>
          <w:p w:rsidR="00C53104" w:rsidRDefault="00C53104" w:rsidP="00E53745">
            <w:pPr>
              <w:pStyle w:val="a5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</w:tcPr>
          <w:p w:rsidR="00C53104" w:rsidRDefault="00C53104" w:rsidP="00C5310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13万元</w:t>
            </w:r>
          </w:p>
        </w:tc>
      </w:tr>
      <w:tr w:rsidR="00C53104" w:rsidRPr="00201A0C" w:rsidTr="00961853">
        <w:trPr>
          <w:trHeight w:val="231"/>
        </w:trPr>
        <w:tc>
          <w:tcPr>
            <w:tcW w:w="709" w:type="dxa"/>
            <w:vMerge/>
          </w:tcPr>
          <w:p w:rsidR="00C53104" w:rsidRDefault="00C53104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Merge/>
          </w:tcPr>
          <w:p w:rsidR="00C53104" w:rsidRDefault="00C53104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</w:tcPr>
          <w:p w:rsidR="00C53104" w:rsidRDefault="00C53104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百丈东郊分院1台</w:t>
            </w:r>
          </w:p>
        </w:tc>
        <w:tc>
          <w:tcPr>
            <w:tcW w:w="2268" w:type="dxa"/>
            <w:vMerge/>
          </w:tcPr>
          <w:p w:rsidR="00C53104" w:rsidRDefault="00C53104" w:rsidP="00E53745">
            <w:pPr>
              <w:pStyle w:val="a5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</w:tcPr>
          <w:p w:rsidR="00C53104" w:rsidRDefault="00C53104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C53104" w:rsidRPr="00201A0C" w:rsidTr="00C53104">
        <w:trPr>
          <w:trHeight w:val="155"/>
        </w:trPr>
        <w:tc>
          <w:tcPr>
            <w:tcW w:w="709" w:type="dxa"/>
            <w:vMerge w:val="restart"/>
          </w:tcPr>
          <w:p w:rsidR="00C53104" w:rsidRDefault="000076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vMerge w:val="restart"/>
          </w:tcPr>
          <w:p w:rsidR="00C53104" w:rsidRPr="004B3EBF" w:rsidRDefault="00C53104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动态血压监护仪</w:t>
            </w:r>
          </w:p>
        </w:tc>
        <w:tc>
          <w:tcPr>
            <w:tcW w:w="1985" w:type="dxa"/>
          </w:tcPr>
          <w:p w:rsidR="00C53104" w:rsidRDefault="00C53104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东柳分院1台</w:t>
            </w:r>
          </w:p>
        </w:tc>
        <w:tc>
          <w:tcPr>
            <w:tcW w:w="2268" w:type="dxa"/>
            <w:vMerge w:val="restart"/>
          </w:tcPr>
          <w:p w:rsidR="00C53104" w:rsidRDefault="00C53104" w:rsidP="00E53745">
            <w:pPr>
              <w:pStyle w:val="a5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</w:tcPr>
          <w:p w:rsidR="00CE2127" w:rsidRDefault="000076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6万元</w:t>
            </w:r>
          </w:p>
        </w:tc>
      </w:tr>
      <w:tr w:rsidR="00C53104" w:rsidRPr="00201A0C" w:rsidTr="00961853">
        <w:trPr>
          <w:trHeight w:val="154"/>
        </w:trPr>
        <w:tc>
          <w:tcPr>
            <w:tcW w:w="709" w:type="dxa"/>
            <w:vMerge/>
          </w:tcPr>
          <w:p w:rsidR="00C53104" w:rsidRDefault="00C53104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Merge/>
          </w:tcPr>
          <w:p w:rsidR="00C53104" w:rsidRDefault="00C53104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</w:tcPr>
          <w:p w:rsidR="00C53104" w:rsidRDefault="00CE2127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</w:t>
            </w:r>
            <w:r w:rsidR="00007612">
              <w:rPr>
                <w:rFonts w:ascii="宋体" w:hAnsi="宋体" w:hint="eastAsia"/>
                <w:szCs w:val="21"/>
              </w:rPr>
              <w:t>分院1台</w:t>
            </w:r>
          </w:p>
        </w:tc>
        <w:tc>
          <w:tcPr>
            <w:tcW w:w="2268" w:type="dxa"/>
            <w:vMerge/>
          </w:tcPr>
          <w:p w:rsidR="00C53104" w:rsidRDefault="00C53104" w:rsidP="00E53745">
            <w:pPr>
              <w:pStyle w:val="a5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</w:tcPr>
          <w:p w:rsidR="00C53104" w:rsidRDefault="00C53104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4B3EBF" w:rsidRPr="00201A0C" w:rsidTr="00961853">
        <w:trPr>
          <w:trHeight w:val="551"/>
        </w:trPr>
        <w:tc>
          <w:tcPr>
            <w:tcW w:w="709" w:type="dxa"/>
          </w:tcPr>
          <w:p w:rsidR="004B3EBF" w:rsidRDefault="000076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4B3EBF" w:rsidRPr="00961853" w:rsidRDefault="004B3EBF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B3EBF">
              <w:rPr>
                <w:rFonts w:ascii="宋体" w:hAnsi="宋体" w:hint="eastAsia"/>
                <w:szCs w:val="21"/>
              </w:rPr>
              <w:t>手术器械</w:t>
            </w:r>
          </w:p>
        </w:tc>
        <w:tc>
          <w:tcPr>
            <w:tcW w:w="1985" w:type="dxa"/>
          </w:tcPr>
          <w:p w:rsidR="004B3EBF" w:rsidRPr="00961853" w:rsidRDefault="001C3527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</w:t>
            </w:r>
            <w:r w:rsidR="004B3EBF"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2268" w:type="dxa"/>
          </w:tcPr>
          <w:p w:rsidR="004B3EBF" w:rsidRPr="00961853" w:rsidRDefault="004B3EBF" w:rsidP="00E53745">
            <w:pPr>
              <w:pStyle w:val="a5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具体清单见附件1</w:t>
            </w:r>
          </w:p>
        </w:tc>
        <w:tc>
          <w:tcPr>
            <w:tcW w:w="1184" w:type="dxa"/>
          </w:tcPr>
          <w:p w:rsidR="004B3EBF" w:rsidRPr="00961853" w:rsidRDefault="004B3EBF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28万元</w:t>
            </w:r>
          </w:p>
        </w:tc>
      </w:tr>
      <w:tr w:rsidR="00961853" w:rsidRPr="00201A0C" w:rsidTr="00961853">
        <w:trPr>
          <w:trHeight w:val="551"/>
        </w:trPr>
        <w:tc>
          <w:tcPr>
            <w:tcW w:w="709" w:type="dxa"/>
          </w:tcPr>
          <w:p w:rsidR="00961853" w:rsidRDefault="004B3EBF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961853" w:rsidRDefault="0096185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961853">
              <w:rPr>
                <w:rFonts w:ascii="宋体" w:hAnsi="宋体" w:hint="eastAsia"/>
                <w:szCs w:val="21"/>
              </w:rPr>
              <w:t>经皮电刺激仪</w:t>
            </w:r>
          </w:p>
          <w:p w:rsidR="000B7086" w:rsidRPr="004C66B0" w:rsidRDefault="000B7086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985" w:type="dxa"/>
          </w:tcPr>
          <w:p w:rsidR="00961853" w:rsidRDefault="001C3527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</w:t>
            </w:r>
            <w:r w:rsidR="00961853" w:rsidRPr="00961853">
              <w:rPr>
                <w:rFonts w:ascii="宋体" w:hAnsi="宋体" w:hint="eastAsia"/>
                <w:szCs w:val="21"/>
              </w:rPr>
              <w:t>10台</w:t>
            </w:r>
          </w:p>
        </w:tc>
        <w:tc>
          <w:tcPr>
            <w:tcW w:w="2268" w:type="dxa"/>
          </w:tcPr>
          <w:p w:rsidR="00961853" w:rsidRDefault="00961853" w:rsidP="00E53745">
            <w:pPr>
              <w:pStyle w:val="a5"/>
              <w:ind w:firstLineChars="0" w:firstLine="0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961853">
              <w:rPr>
                <w:rFonts w:ascii="宋体" w:hAnsi="宋体" w:hint="eastAsia"/>
                <w:szCs w:val="21"/>
              </w:rPr>
              <w:t>消化科适用</w:t>
            </w:r>
          </w:p>
        </w:tc>
        <w:tc>
          <w:tcPr>
            <w:tcW w:w="1184" w:type="dxa"/>
          </w:tcPr>
          <w:p w:rsidR="00961853" w:rsidRPr="00961853" w:rsidRDefault="0096185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961853">
              <w:rPr>
                <w:rFonts w:ascii="宋体" w:hAnsi="宋体" w:hint="eastAsia"/>
                <w:szCs w:val="21"/>
              </w:rPr>
              <w:t>3万元</w:t>
            </w:r>
          </w:p>
          <w:p w:rsidR="00961853" w:rsidRPr="00961853" w:rsidRDefault="00961853" w:rsidP="00480B22">
            <w:pPr>
              <w:rPr>
                <w:rFonts w:ascii="宋体" w:hAnsi="宋体"/>
                <w:szCs w:val="21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B3EBF">
        <w:rPr>
          <w:rFonts w:asciiTheme="minorEastAsia" w:hAnsiTheme="minorEastAsia" w:cs="宋体" w:hint="eastAsia"/>
          <w:kern w:val="0"/>
          <w:sz w:val="24"/>
          <w:szCs w:val="24"/>
        </w:rPr>
        <w:t>31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B3EB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4B3EB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B3EBF"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DC078C" w:rsidP="00803D10">
      <w:pPr>
        <w:rPr>
          <w:rFonts w:hint="eastAsia"/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292915" cy="1292915"/>
            <wp:effectExtent l="19050" t="0" r="2485" b="0"/>
            <wp:docPr id="1" name="图片 1" descr="D:\微信资料\WeChat Files\wxid_0tjmequj87jh52\FileStorage\Temp\7d325e96a36cd686a5e12d66aa9c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7d325e96a36cd686a5e12d66aa9cf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04" cy="129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A90" w:rsidRDefault="001F2A90" w:rsidP="00803D10">
      <w:pPr>
        <w:rPr>
          <w:b/>
          <w:sz w:val="18"/>
          <w:szCs w:val="18"/>
        </w:rPr>
      </w:pPr>
    </w:p>
    <w:p w:rsidR="001F2A90" w:rsidRDefault="001F2A90" w:rsidP="00803D10">
      <w:pPr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附件1：</w:t>
      </w:r>
    </w:p>
    <w:p w:rsidR="005B50DF" w:rsidRDefault="005B50DF" w:rsidP="00803D10">
      <w:pPr>
        <w:rPr>
          <w:rFonts w:asciiTheme="minorEastAsia" w:hAnsiTheme="minorEastAsia" w:cs="宋体"/>
          <w:kern w:val="0"/>
          <w:sz w:val="24"/>
          <w:szCs w:val="24"/>
        </w:rPr>
      </w:pPr>
      <w:r w:rsidRPr="005B50DF">
        <w:rPr>
          <w:rFonts w:asciiTheme="minorEastAsia" w:hAnsiTheme="minorEastAsia" w:cs="宋体" w:hint="eastAsia"/>
          <w:b/>
          <w:kern w:val="0"/>
          <w:sz w:val="24"/>
          <w:szCs w:val="24"/>
        </w:rPr>
        <w:t>手术器械1批</w:t>
      </w:r>
      <w:r w:rsidRPr="005B50DF">
        <w:rPr>
          <w:rFonts w:asciiTheme="minorEastAsia" w:hAnsiTheme="minorEastAsia" w:cs="宋体" w:hint="eastAsia"/>
          <w:kern w:val="0"/>
          <w:sz w:val="24"/>
          <w:szCs w:val="24"/>
        </w:rPr>
        <w:t>：包含肝胆专科包1包、泌尿专科包1包、</w:t>
      </w:r>
    </w:p>
    <w:p w:rsidR="005B50DF" w:rsidRDefault="005B50DF" w:rsidP="005B50DF">
      <w:pPr>
        <w:ind w:firstLineChars="700" w:firstLine="1680"/>
        <w:rPr>
          <w:rFonts w:asciiTheme="minorEastAsia" w:hAnsiTheme="minorEastAsia" w:cs="宋体"/>
          <w:kern w:val="0"/>
          <w:sz w:val="24"/>
          <w:szCs w:val="24"/>
        </w:rPr>
      </w:pPr>
      <w:r w:rsidRPr="005B50DF">
        <w:rPr>
          <w:rFonts w:asciiTheme="minorEastAsia" w:hAnsiTheme="minorEastAsia" w:cs="宋体" w:hint="eastAsia"/>
          <w:kern w:val="0"/>
          <w:sz w:val="24"/>
          <w:szCs w:val="24"/>
        </w:rPr>
        <w:t>腔镜消毒包10包、乳房拉钩1个、</w:t>
      </w:r>
    </w:p>
    <w:p w:rsidR="005B50DF" w:rsidRDefault="005B50DF" w:rsidP="005B50DF">
      <w:pPr>
        <w:ind w:firstLineChars="700" w:firstLine="1680"/>
        <w:rPr>
          <w:rFonts w:asciiTheme="minorEastAsia" w:hAnsiTheme="minorEastAsia" w:cs="宋体"/>
          <w:kern w:val="0"/>
          <w:sz w:val="24"/>
          <w:szCs w:val="24"/>
        </w:rPr>
      </w:pPr>
      <w:r w:rsidRPr="005B50DF">
        <w:rPr>
          <w:rFonts w:asciiTheme="minorEastAsia" w:hAnsiTheme="minorEastAsia" w:cs="宋体" w:hint="eastAsia"/>
          <w:kern w:val="0"/>
          <w:sz w:val="24"/>
          <w:szCs w:val="24"/>
        </w:rPr>
        <w:t>胆囊包2个、</w:t>
      </w:r>
      <w:proofErr w:type="gramStart"/>
      <w:r w:rsidRPr="005B50DF">
        <w:rPr>
          <w:rFonts w:asciiTheme="minorEastAsia" w:hAnsiTheme="minorEastAsia" w:cs="宋体" w:hint="eastAsia"/>
          <w:kern w:val="0"/>
          <w:sz w:val="24"/>
          <w:szCs w:val="24"/>
        </w:rPr>
        <w:t>胃切包</w:t>
      </w:r>
      <w:proofErr w:type="gramEnd"/>
      <w:r w:rsidRPr="005B50DF">
        <w:rPr>
          <w:rFonts w:asciiTheme="minorEastAsia" w:hAnsiTheme="minorEastAsia" w:cs="宋体" w:hint="eastAsia"/>
          <w:kern w:val="0"/>
          <w:sz w:val="24"/>
          <w:szCs w:val="24"/>
        </w:rPr>
        <w:t>2包、</w:t>
      </w:r>
    </w:p>
    <w:p w:rsidR="005B50DF" w:rsidRDefault="005B50DF" w:rsidP="005B50DF">
      <w:pPr>
        <w:ind w:firstLineChars="700" w:firstLine="1680"/>
        <w:rPr>
          <w:rFonts w:asciiTheme="minorEastAsia" w:hAnsiTheme="minorEastAsia" w:cs="宋体"/>
          <w:kern w:val="0"/>
          <w:sz w:val="24"/>
          <w:szCs w:val="24"/>
        </w:rPr>
      </w:pPr>
      <w:r w:rsidRPr="005B50DF">
        <w:rPr>
          <w:rFonts w:asciiTheme="minorEastAsia" w:hAnsiTheme="minorEastAsia" w:cs="宋体" w:hint="eastAsia"/>
          <w:kern w:val="0"/>
          <w:sz w:val="24"/>
          <w:szCs w:val="24"/>
        </w:rPr>
        <w:t>乳房根治包3包、甲状腺包3包、</w:t>
      </w:r>
    </w:p>
    <w:p w:rsidR="00AA3BB7" w:rsidRPr="005B50DF" w:rsidRDefault="005B50DF" w:rsidP="005B50DF">
      <w:pPr>
        <w:ind w:firstLineChars="700" w:firstLine="1680"/>
        <w:rPr>
          <w:rFonts w:asciiTheme="minorEastAsia" w:hAnsiTheme="minorEastAsia" w:cs="宋体"/>
          <w:kern w:val="0"/>
          <w:sz w:val="24"/>
          <w:szCs w:val="24"/>
        </w:rPr>
      </w:pPr>
      <w:r w:rsidRPr="005B50DF">
        <w:rPr>
          <w:rFonts w:asciiTheme="minorEastAsia" w:hAnsiTheme="minorEastAsia" w:cs="宋体" w:hint="eastAsia"/>
          <w:kern w:val="0"/>
          <w:sz w:val="24"/>
          <w:szCs w:val="24"/>
        </w:rPr>
        <w:t>小包器械10包、腹部拉钩1个</w:t>
      </w:r>
    </w:p>
    <w:p w:rsidR="005B50DF" w:rsidRPr="00C866C1" w:rsidRDefault="005B50DF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1A1D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C32A5"/>
    <w:rsid w:val="001C3527"/>
    <w:rsid w:val="001C4CDA"/>
    <w:rsid w:val="001D1015"/>
    <w:rsid w:val="001E2D05"/>
    <w:rsid w:val="001F2A90"/>
    <w:rsid w:val="00201A0C"/>
    <w:rsid w:val="00205C8D"/>
    <w:rsid w:val="00233CF6"/>
    <w:rsid w:val="0025059E"/>
    <w:rsid w:val="00263774"/>
    <w:rsid w:val="00270AFB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43A8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4B0B"/>
    <w:rsid w:val="00417632"/>
    <w:rsid w:val="00421E67"/>
    <w:rsid w:val="00427543"/>
    <w:rsid w:val="00427FDC"/>
    <w:rsid w:val="0043548A"/>
    <w:rsid w:val="00451E34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B3EBF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3DAC"/>
    <w:rsid w:val="00594565"/>
    <w:rsid w:val="005B50DF"/>
    <w:rsid w:val="005C434B"/>
    <w:rsid w:val="005E37B0"/>
    <w:rsid w:val="005E47BA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406CB"/>
    <w:rsid w:val="008479D3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D0D20"/>
    <w:rsid w:val="008D1D99"/>
    <w:rsid w:val="008D4A9F"/>
    <w:rsid w:val="008F22B0"/>
    <w:rsid w:val="00903BBD"/>
    <w:rsid w:val="00915938"/>
    <w:rsid w:val="00933F0E"/>
    <w:rsid w:val="0093679A"/>
    <w:rsid w:val="0095166A"/>
    <w:rsid w:val="00961853"/>
    <w:rsid w:val="009653A8"/>
    <w:rsid w:val="009702BA"/>
    <w:rsid w:val="009763D9"/>
    <w:rsid w:val="00976928"/>
    <w:rsid w:val="00987CA8"/>
    <w:rsid w:val="0099516E"/>
    <w:rsid w:val="009A6320"/>
    <w:rsid w:val="009B1152"/>
    <w:rsid w:val="009B669D"/>
    <w:rsid w:val="009C43AE"/>
    <w:rsid w:val="009C573A"/>
    <w:rsid w:val="009D4ED1"/>
    <w:rsid w:val="009F023F"/>
    <w:rsid w:val="009F459D"/>
    <w:rsid w:val="00A20482"/>
    <w:rsid w:val="00A312B7"/>
    <w:rsid w:val="00A403CA"/>
    <w:rsid w:val="00A475CC"/>
    <w:rsid w:val="00A53D4A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76D5"/>
    <w:rsid w:val="00C75F98"/>
    <w:rsid w:val="00C814DD"/>
    <w:rsid w:val="00C83321"/>
    <w:rsid w:val="00C866C1"/>
    <w:rsid w:val="00C92C64"/>
    <w:rsid w:val="00C93DB5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91A05"/>
    <w:rsid w:val="00D94F45"/>
    <w:rsid w:val="00DB5046"/>
    <w:rsid w:val="00DC078C"/>
    <w:rsid w:val="00DC3F3C"/>
    <w:rsid w:val="00DC3FE2"/>
    <w:rsid w:val="00DC6059"/>
    <w:rsid w:val="00DC76E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171</cp:revision>
  <dcterms:created xsi:type="dcterms:W3CDTF">2022-03-10T04:15:00Z</dcterms:created>
  <dcterms:modified xsi:type="dcterms:W3CDTF">2024-10-25T08:32:00Z</dcterms:modified>
</cp:coreProperties>
</file>