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A2" w:rsidRDefault="0009534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宁波大学附属人民医院</w:t>
      </w:r>
      <w:r w:rsidR="002263C0">
        <w:rPr>
          <w:rFonts w:asciiTheme="majorEastAsia" w:eastAsiaTheme="majorEastAsia" w:hAnsiTheme="majorEastAsia" w:hint="eastAsia"/>
          <w:b/>
          <w:sz w:val="32"/>
          <w:szCs w:val="32"/>
        </w:rPr>
        <w:t>低压断路器更换</w:t>
      </w:r>
      <w:r w:rsidR="00190306">
        <w:rPr>
          <w:rFonts w:asciiTheme="majorEastAsia" w:eastAsiaTheme="majorEastAsia" w:hAnsiTheme="majorEastAsia" w:hint="eastAsia"/>
          <w:b/>
          <w:sz w:val="32"/>
          <w:szCs w:val="32"/>
        </w:rPr>
        <w:t>维护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保</w:t>
      </w:r>
      <w:r w:rsidR="002263C0">
        <w:rPr>
          <w:rFonts w:asciiTheme="majorEastAsia" w:eastAsiaTheme="majorEastAsia" w:hAnsiTheme="majorEastAsia" w:hint="eastAsia"/>
          <w:b/>
          <w:sz w:val="32"/>
          <w:szCs w:val="32"/>
        </w:rPr>
        <w:t>养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项目院内议标公告</w:t>
      </w:r>
    </w:p>
    <w:p w:rsidR="006C66A2" w:rsidRPr="0009534D" w:rsidRDefault="0009534D" w:rsidP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Pr="0009534D">
        <w:rPr>
          <w:rFonts w:asciiTheme="majorEastAsia" w:eastAsiaTheme="majorEastAsia" w:hAnsiTheme="majorEastAsia" w:hint="eastAsia"/>
          <w:sz w:val="24"/>
          <w:szCs w:val="24"/>
        </w:rPr>
        <w:t>议标品目：</w:t>
      </w:r>
    </w:p>
    <w:p w:rsidR="006C66A2" w:rsidRDefault="006C66A2">
      <w:pPr>
        <w:pStyle w:val="a6"/>
        <w:ind w:left="480" w:firstLineChars="0" w:firstLine="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Ind w:w="480" w:type="dxa"/>
        <w:tblLook w:val="04A0"/>
      </w:tblPr>
      <w:tblGrid>
        <w:gridCol w:w="762"/>
        <w:gridCol w:w="3544"/>
        <w:gridCol w:w="1134"/>
        <w:gridCol w:w="2410"/>
      </w:tblGrid>
      <w:tr w:rsidR="006C66A2" w:rsidTr="00190306">
        <w:tc>
          <w:tcPr>
            <w:tcW w:w="762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2410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最高限额</w:t>
            </w:r>
          </w:p>
        </w:tc>
      </w:tr>
      <w:tr w:rsidR="006C66A2" w:rsidTr="00190306">
        <w:tc>
          <w:tcPr>
            <w:tcW w:w="762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C66A2" w:rsidRDefault="002263C0" w:rsidP="002263C0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263C0">
              <w:rPr>
                <w:rFonts w:asciiTheme="majorEastAsia" w:eastAsiaTheme="majorEastAsia" w:hAnsiTheme="majorEastAsia" w:hint="eastAsia"/>
                <w:sz w:val="24"/>
                <w:szCs w:val="24"/>
              </w:rPr>
              <w:t>低压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断路器</w:t>
            </w:r>
            <w:r w:rsidRPr="002263C0">
              <w:rPr>
                <w:rFonts w:asciiTheme="majorEastAsia" w:eastAsiaTheme="majorEastAsia" w:hAnsiTheme="majorEastAsia" w:hint="eastAsia"/>
                <w:sz w:val="24"/>
                <w:szCs w:val="24"/>
              </w:rPr>
              <w:t>更换</w:t>
            </w:r>
            <w:r w:rsidR="00190306">
              <w:rPr>
                <w:rFonts w:asciiTheme="majorEastAsia" w:eastAsiaTheme="majorEastAsia" w:hAnsiTheme="majorEastAsia" w:hint="eastAsia"/>
                <w:sz w:val="24"/>
                <w:szCs w:val="24"/>
              </w:rPr>
              <w:t>维护</w:t>
            </w:r>
            <w:r w:rsidRPr="002263C0">
              <w:rPr>
                <w:rFonts w:asciiTheme="majorEastAsia" w:eastAsiaTheme="majorEastAsia" w:hAnsiTheme="majorEastAsia" w:hint="eastAsia"/>
                <w:sz w:val="24"/>
                <w:szCs w:val="24"/>
              </w:rPr>
              <w:t>保养</w:t>
            </w:r>
            <w:r w:rsidR="00E60CF6" w:rsidRPr="00E60CF6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</w:tcPr>
          <w:p w:rsidR="006C66A2" w:rsidRDefault="0009534D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1项</w:t>
            </w:r>
          </w:p>
        </w:tc>
        <w:tc>
          <w:tcPr>
            <w:tcW w:w="2410" w:type="dxa"/>
          </w:tcPr>
          <w:p w:rsidR="006C66A2" w:rsidRDefault="002263C0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27.5</w:t>
            </w:r>
            <w:r w:rsidR="0009534D">
              <w:rPr>
                <w:rFonts w:asciiTheme="majorEastAsia" w:eastAsiaTheme="majorEastAsia" w:hAnsiTheme="majorEastAsia" w:hint="eastAsia"/>
                <w:sz w:val="24"/>
                <w:szCs w:val="24"/>
              </w:rPr>
              <w:t>万元</w:t>
            </w:r>
          </w:p>
        </w:tc>
      </w:tr>
    </w:tbl>
    <w:p w:rsidR="006C66A2" w:rsidRDefault="006C66A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二、项目</w:t>
      </w:r>
      <w:r w:rsidR="00525A4E">
        <w:rPr>
          <w:rFonts w:asciiTheme="majorEastAsia" w:eastAsiaTheme="majorEastAsia" w:hAnsiTheme="majorEastAsia" w:hint="eastAsia"/>
          <w:sz w:val="24"/>
          <w:szCs w:val="24"/>
        </w:rPr>
        <w:t>概况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1E19AE" w:rsidRDefault="001E19A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E19AE">
        <w:rPr>
          <w:rFonts w:asciiTheme="majorEastAsia" w:eastAsiaTheme="majorEastAsia" w:hAnsiTheme="majorEastAsia" w:hint="eastAsia"/>
          <w:sz w:val="24"/>
          <w:szCs w:val="24"/>
        </w:rPr>
        <w:t>我院住院部、门诊部地下室高配间内的电气设备</w:t>
      </w:r>
      <w:r>
        <w:rPr>
          <w:rFonts w:asciiTheme="majorEastAsia" w:eastAsiaTheme="majorEastAsia" w:hAnsiTheme="majorEastAsia" w:hint="eastAsia"/>
          <w:sz w:val="24"/>
          <w:szCs w:val="24"/>
        </w:rPr>
        <w:t>均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为ABB</w:t>
      </w:r>
      <w:r>
        <w:rPr>
          <w:rFonts w:asciiTheme="majorEastAsia" w:eastAsiaTheme="majorEastAsia" w:hAnsiTheme="majorEastAsia" w:hint="eastAsia"/>
          <w:sz w:val="24"/>
          <w:szCs w:val="24"/>
        </w:rPr>
        <w:t>品牌，已经投入运行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20年，</w:t>
      </w:r>
      <w:r w:rsidR="00525A4E">
        <w:rPr>
          <w:rFonts w:asciiTheme="majorEastAsia" w:eastAsiaTheme="majorEastAsia" w:hAnsiTheme="majorEastAsia" w:hint="eastAsia"/>
          <w:sz w:val="24"/>
          <w:szCs w:val="24"/>
        </w:rPr>
        <w:t>为了保障设备安全有效运行，</w:t>
      </w:r>
      <w:r>
        <w:rPr>
          <w:rFonts w:asciiTheme="majorEastAsia" w:eastAsiaTheme="majorEastAsia" w:hAnsiTheme="majorEastAsia" w:hint="eastAsia"/>
          <w:sz w:val="24"/>
          <w:szCs w:val="24"/>
        </w:rPr>
        <w:t>现需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对门诊部3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台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低压断路器进行更换，对住院部10台低压断路器进行</w:t>
      </w:r>
      <w:r>
        <w:rPr>
          <w:rFonts w:asciiTheme="majorEastAsia" w:eastAsiaTheme="majorEastAsia" w:hAnsiTheme="majorEastAsia" w:hint="eastAsia"/>
          <w:sz w:val="24"/>
          <w:szCs w:val="24"/>
        </w:rPr>
        <w:t>检测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维护保养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预算27.5万元，</w:t>
      </w:r>
      <w:r w:rsidR="00007132" w:rsidRPr="0027045F">
        <w:rPr>
          <w:rFonts w:asciiTheme="majorEastAsia" w:eastAsiaTheme="majorEastAsia" w:hAnsiTheme="majorEastAsia" w:hint="eastAsia"/>
          <w:sz w:val="24"/>
          <w:szCs w:val="24"/>
        </w:rPr>
        <w:t>包含断路器的供货、更换、检测维护保养等所有费用。</w:t>
      </w:r>
      <w:r>
        <w:rPr>
          <w:rFonts w:asciiTheme="majorEastAsia" w:eastAsiaTheme="majorEastAsia" w:hAnsiTheme="majorEastAsia" w:hint="eastAsia"/>
          <w:sz w:val="24"/>
          <w:szCs w:val="24"/>
        </w:rPr>
        <w:t>欢迎有相应资质及服务能力的供应商前来参加</w:t>
      </w:r>
      <w:r w:rsidRPr="001E19AE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具体清单如下：</w:t>
      </w:r>
    </w:p>
    <w:p w:rsidR="001E19AE" w:rsidRDefault="001E19A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01"/>
        <w:gridCol w:w="3827"/>
        <w:gridCol w:w="1559"/>
        <w:gridCol w:w="2035"/>
      </w:tblGrid>
      <w:tr w:rsidR="001E19AE" w:rsidTr="009C7AD6">
        <w:tc>
          <w:tcPr>
            <w:tcW w:w="1101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3827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559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数量（台）</w:t>
            </w:r>
          </w:p>
        </w:tc>
        <w:tc>
          <w:tcPr>
            <w:tcW w:w="2035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</w:tr>
      <w:tr w:rsidR="001E19AE" w:rsidTr="009C7AD6">
        <w:tc>
          <w:tcPr>
            <w:tcW w:w="1101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门诊楼</w:t>
            </w:r>
          </w:p>
        </w:tc>
        <w:tc>
          <w:tcPr>
            <w:tcW w:w="3827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E2N1600 PR122/P-LSI WMP 4P</w:t>
            </w:r>
          </w:p>
        </w:tc>
        <w:tc>
          <w:tcPr>
            <w:tcW w:w="1559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5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整机更换</w:t>
            </w:r>
          </w:p>
        </w:tc>
      </w:tr>
      <w:tr w:rsidR="001E19AE" w:rsidTr="009C7AD6">
        <w:tc>
          <w:tcPr>
            <w:tcW w:w="1101" w:type="dxa"/>
            <w:vMerge w:val="restart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住院楼</w:t>
            </w:r>
          </w:p>
        </w:tc>
        <w:tc>
          <w:tcPr>
            <w:tcW w:w="3827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E3N2500  PR112/P-LSIG WMP 4P</w:t>
            </w:r>
          </w:p>
        </w:tc>
        <w:tc>
          <w:tcPr>
            <w:tcW w:w="1559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35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维护保养</w:t>
            </w:r>
          </w:p>
        </w:tc>
      </w:tr>
      <w:tr w:rsidR="001E19AE" w:rsidTr="009C7AD6">
        <w:tc>
          <w:tcPr>
            <w:tcW w:w="1101" w:type="dxa"/>
            <w:vMerge/>
          </w:tcPr>
          <w:p w:rsidR="001E19AE" w:rsidRDefault="001E19AE" w:rsidP="00090409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E2N1600  PR112/P-LSI WMP 3P</w:t>
            </w:r>
          </w:p>
        </w:tc>
        <w:tc>
          <w:tcPr>
            <w:tcW w:w="1559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维护保养</w:t>
            </w:r>
          </w:p>
        </w:tc>
      </w:tr>
      <w:tr w:rsidR="001E19AE" w:rsidTr="009C7AD6">
        <w:tc>
          <w:tcPr>
            <w:tcW w:w="1101" w:type="dxa"/>
            <w:vMerge/>
          </w:tcPr>
          <w:p w:rsidR="001E19AE" w:rsidRDefault="001E19AE" w:rsidP="00090409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E2N1250  PR112/P-LSI WMP 3P</w:t>
            </w:r>
          </w:p>
        </w:tc>
        <w:tc>
          <w:tcPr>
            <w:tcW w:w="1559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1E19AE" w:rsidRDefault="001E19AE" w:rsidP="0009040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维护保养</w:t>
            </w:r>
          </w:p>
        </w:tc>
      </w:tr>
    </w:tbl>
    <w:p w:rsidR="001E19AE" w:rsidRDefault="001E19A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三、投标人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及项目</w:t>
      </w:r>
      <w:r>
        <w:rPr>
          <w:rFonts w:asciiTheme="majorEastAsia" w:eastAsiaTheme="majorEastAsia" w:hAnsiTheme="majorEastAsia" w:hint="eastAsia"/>
          <w:sz w:val="24"/>
          <w:szCs w:val="24"/>
        </w:rPr>
        <w:t>要求：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0E5D25">
        <w:rPr>
          <w:rFonts w:asciiTheme="majorEastAsia" w:eastAsiaTheme="majorEastAsia" w:hAnsiTheme="majorEastAsia"/>
          <w:sz w:val="24"/>
          <w:szCs w:val="24"/>
        </w:rPr>
        <w:t>符合《中华人民共和国政府采购法》第二十二条对供应商的要求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C66A2" w:rsidRDefault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E5D25">
        <w:rPr>
          <w:rFonts w:asciiTheme="majorEastAsia" w:eastAsiaTheme="majorEastAsia" w:hAnsiTheme="majorEastAsia"/>
          <w:sz w:val="24"/>
          <w:szCs w:val="24"/>
        </w:rPr>
        <w:t>参加政府采购活动前三年内，在经营活动中没有重大违法记录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A68C7" w:rsidRPr="006A68C7" w:rsidRDefault="006A68C7" w:rsidP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投标单位</w:t>
      </w:r>
      <w:r w:rsidR="00E8775E">
        <w:rPr>
          <w:rFonts w:asciiTheme="majorEastAsia" w:eastAsiaTheme="majorEastAsia" w:hAnsiTheme="majorEastAsia" w:hint="eastAsia"/>
          <w:sz w:val="24"/>
          <w:szCs w:val="24"/>
        </w:rPr>
        <w:t>必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需具有ABB服务型经销商证书，产品范围涵盖：ABB电气中国智慧电力产品服务业务</w:t>
      </w:r>
      <w:r w:rsidR="00E8775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E8775E" w:rsidRPr="008D10CA">
        <w:rPr>
          <w:rFonts w:asciiTheme="majorEastAsia" w:eastAsiaTheme="majorEastAsia" w:hAnsiTheme="majorEastAsia" w:hint="eastAsia"/>
          <w:sz w:val="24"/>
          <w:szCs w:val="24"/>
        </w:rPr>
        <w:t>否则投标无效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A68C7" w:rsidRPr="006A68C7" w:rsidRDefault="006A68C7" w:rsidP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="0098012F">
        <w:rPr>
          <w:rFonts w:asciiTheme="majorEastAsia" w:eastAsiaTheme="majorEastAsia" w:hAnsiTheme="majorEastAsia" w:hint="eastAsia"/>
          <w:sz w:val="24"/>
          <w:szCs w:val="24"/>
        </w:rPr>
        <w:t>负责人需</w:t>
      </w:r>
      <w:r w:rsidR="003A1520" w:rsidRPr="003A1520">
        <w:rPr>
          <w:rFonts w:asciiTheme="majorEastAsia" w:eastAsiaTheme="majorEastAsia" w:hAnsiTheme="majorEastAsia" w:hint="eastAsia"/>
          <w:sz w:val="24"/>
          <w:szCs w:val="24"/>
        </w:rPr>
        <w:t>具备ABB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智慧电力产品的中级服务技术认证；</w:t>
      </w:r>
    </w:p>
    <w:p w:rsidR="006A68C7" w:rsidRPr="006A68C7" w:rsidRDefault="006A68C7" w:rsidP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A68C7">
        <w:rPr>
          <w:rFonts w:asciiTheme="majorEastAsia" w:eastAsiaTheme="majorEastAsia" w:hAnsiTheme="majorEastAsia" w:hint="eastAsia"/>
          <w:sz w:val="24"/>
          <w:szCs w:val="24"/>
        </w:rPr>
        <w:t>5、投标单位</w:t>
      </w:r>
      <w:proofErr w:type="gramStart"/>
      <w:r w:rsidRPr="006A68C7">
        <w:rPr>
          <w:rFonts w:asciiTheme="majorEastAsia" w:eastAsiaTheme="majorEastAsia" w:hAnsiTheme="majorEastAsia" w:hint="eastAsia"/>
          <w:sz w:val="24"/>
          <w:szCs w:val="24"/>
        </w:rPr>
        <w:t>需承诺</w:t>
      </w:r>
      <w:proofErr w:type="gramEnd"/>
      <w:r w:rsidRPr="006A68C7">
        <w:rPr>
          <w:rFonts w:asciiTheme="majorEastAsia" w:eastAsiaTheme="majorEastAsia" w:hAnsiTheme="majorEastAsia" w:hint="eastAsia"/>
          <w:sz w:val="24"/>
          <w:szCs w:val="24"/>
        </w:rPr>
        <w:t>提供的产品</w:t>
      </w:r>
      <w:r w:rsidRPr="003A1520">
        <w:rPr>
          <w:rFonts w:asciiTheme="majorEastAsia" w:eastAsiaTheme="majorEastAsia" w:hAnsiTheme="majorEastAsia" w:hint="eastAsia"/>
          <w:sz w:val="24"/>
          <w:szCs w:val="24"/>
        </w:rPr>
        <w:t>必须为中标日后</w:t>
      </w:r>
      <w:r w:rsidR="003A1520" w:rsidRPr="003A1520">
        <w:rPr>
          <w:rFonts w:asciiTheme="majorEastAsia" w:eastAsiaTheme="majorEastAsia" w:hAnsiTheme="majorEastAsia" w:hint="eastAsia"/>
          <w:sz w:val="24"/>
          <w:szCs w:val="24"/>
        </w:rPr>
        <w:t>ABB原</w:t>
      </w:r>
      <w:r w:rsidRPr="003A1520">
        <w:rPr>
          <w:rFonts w:asciiTheme="majorEastAsia" w:eastAsiaTheme="majorEastAsia" w:hAnsiTheme="majorEastAsia" w:hint="eastAsia"/>
          <w:sz w:val="24"/>
          <w:szCs w:val="24"/>
        </w:rPr>
        <w:t>厂</w:t>
      </w:r>
      <w:r w:rsidR="003A1520">
        <w:rPr>
          <w:rFonts w:asciiTheme="majorEastAsia" w:eastAsiaTheme="majorEastAsia" w:hAnsiTheme="majorEastAsia" w:hint="eastAsia"/>
          <w:sz w:val="24"/>
          <w:szCs w:val="24"/>
        </w:rPr>
        <w:t>生产、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全新原装产品；</w:t>
      </w:r>
    </w:p>
    <w:p w:rsidR="006A68C7" w:rsidRPr="006A68C7" w:rsidRDefault="006A68C7" w:rsidP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6、</w:t>
      </w:r>
      <w:r w:rsidR="0098012F">
        <w:rPr>
          <w:rFonts w:asciiTheme="majorEastAsia" w:eastAsiaTheme="majorEastAsia" w:hAnsiTheme="majorEastAsia" w:hint="eastAsia"/>
          <w:sz w:val="24"/>
          <w:szCs w:val="24"/>
        </w:rPr>
        <w:t>产品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需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2年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及以上的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质保期；</w:t>
      </w:r>
      <w:r w:rsidR="007C2775" w:rsidRPr="006A68C7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6A68C7" w:rsidRPr="006A68C7" w:rsidRDefault="006A68C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7、</w:t>
      </w:r>
      <w:r w:rsidRPr="006A68C7">
        <w:rPr>
          <w:rFonts w:asciiTheme="majorEastAsia" w:eastAsiaTheme="majorEastAsia" w:hAnsiTheme="majorEastAsia" w:hint="eastAsia"/>
          <w:sz w:val="24"/>
          <w:szCs w:val="24"/>
        </w:rPr>
        <w:t>本项目不接受联合体投标。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四、参与投标应提供以下资料（标书一正三副,正本须加盖红章）：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1、企业营业执照复印件；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投标人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相关</w:t>
      </w:r>
      <w:r>
        <w:rPr>
          <w:rFonts w:asciiTheme="majorEastAsia" w:eastAsiaTheme="majorEastAsia" w:hAnsiTheme="majorEastAsia"/>
          <w:sz w:val="24"/>
          <w:szCs w:val="24"/>
        </w:rPr>
        <w:t>的资质、资格</w:t>
      </w:r>
      <w:r>
        <w:rPr>
          <w:rFonts w:asciiTheme="majorEastAsia" w:eastAsiaTheme="majorEastAsia" w:hAnsiTheme="majorEastAsia" w:hint="eastAsia"/>
          <w:sz w:val="24"/>
          <w:szCs w:val="24"/>
        </w:rPr>
        <w:t>证明</w:t>
      </w:r>
      <w:r>
        <w:rPr>
          <w:rFonts w:asciiTheme="majorEastAsia" w:eastAsiaTheme="majorEastAsia" w:hAnsiTheme="majorEastAsia"/>
          <w:sz w:val="24"/>
          <w:szCs w:val="24"/>
        </w:rPr>
        <w:t>；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3、投标代表的法人授权书及身份证复印件，并带身份证原件</w:t>
      </w:r>
      <w:r w:rsidR="008D10CA">
        <w:rPr>
          <w:rFonts w:asciiTheme="majorEastAsia" w:eastAsiaTheme="majorEastAsia" w:hAnsiTheme="majorEastAsia" w:hint="eastAsia"/>
          <w:sz w:val="24"/>
          <w:szCs w:val="24"/>
        </w:rPr>
        <w:t>备查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4、提供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实施</w:t>
      </w:r>
      <w:r>
        <w:rPr>
          <w:rFonts w:asciiTheme="majorEastAsia" w:eastAsiaTheme="majorEastAsia" w:hAnsiTheme="majorEastAsia" w:hint="eastAsia"/>
          <w:sz w:val="24"/>
          <w:szCs w:val="24"/>
        </w:rPr>
        <w:t>人员的相应资质证明；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5、提供项目一览表及报价表；</w:t>
      </w:r>
    </w:p>
    <w:p w:rsidR="006C66A2" w:rsidRDefault="008D10C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8072A">
        <w:rPr>
          <w:rFonts w:asciiTheme="majorEastAsia" w:eastAsiaTheme="majorEastAsia" w:hAnsiTheme="majorEastAsia" w:hint="eastAsia"/>
          <w:sz w:val="24"/>
          <w:szCs w:val="24"/>
        </w:rPr>
        <w:t>同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类</w:t>
      </w:r>
      <w:r w:rsidR="0008072A"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业绩，提供合同复印件</w:t>
      </w:r>
      <w:r w:rsidR="00007132">
        <w:rPr>
          <w:rFonts w:asciiTheme="majorEastAsia" w:eastAsiaTheme="majorEastAsia" w:hAnsiTheme="majorEastAsia" w:hint="eastAsia"/>
          <w:sz w:val="24"/>
          <w:szCs w:val="24"/>
        </w:rPr>
        <w:t>，并加盖投标人公章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C66A2" w:rsidRDefault="008D10C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、提供该</w:t>
      </w:r>
      <w:r w:rsidR="0009534D">
        <w:rPr>
          <w:rFonts w:asciiTheme="majorEastAsia" w:eastAsiaTheme="majorEastAsia" w:hAnsiTheme="majorEastAsia"/>
          <w:sz w:val="24"/>
          <w:szCs w:val="24"/>
        </w:rPr>
        <w:t>项目</w:t>
      </w:r>
      <w:r w:rsidR="0098012F">
        <w:rPr>
          <w:rFonts w:asciiTheme="majorEastAsia" w:eastAsiaTheme="majorEastAsia" w:hAnsiTheme="majorEastAsia" w:hint="eastAsia"/>
          <w:sz w:val="24"/>
          <w:szCs w:val="24"/>
        </w:rPr>
        <w:t>设备</w:t>
      </w:r>
      <w:r w:rsidR="0009534D">
        <w:rPr>
          <w:rFonts w:asciiTheme="majorEastAsia" w:eastAsiaTheme="majorEastAsia" w:hAnsiTheme="majorEastAsia"/>
          <w:sz w:val="24"/>
          <w:szCs w:val="24"/>
        </w:rPr>
        <w:t>现场情况了解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9534D">
        <w:rPr>
          <w:rFonts w:asciiTheme="majorEastAsia" w:eastAsiaTheme="majorEastAsia" w:hAnsiTheme="majorEastAsia"/>
          <w:sz w:val="24"/>
          <w:szCs w:val="24"/>
        </w:rPr>
        <w:t>分析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及项目的实施方案；</w:t>
      </w:r>
      <w:r w:rsidR="0009534D">
        <w:rPr>
          <w:rFonts w:asciiTheme="majorEastAsia" w:eastAsiaTheme="majorEastAsia" w:hAnsiTheme="majorEastAsia"/>
          <w:sz w:val="24"/>
          <w:szCs w:val="24"/>
        </w:rPr>
        <w:t>现场情况了解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联系人：郑老师，联系电话：13957894013</w:t>
      </w:r>
      <w:r w:rsidR="000E5D2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6C66A2" w:rsidRDefault="008D10C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09534D">
        <w:rPr>
          <w:rFonts w:asciiTheme="majorEastAsia" w:eastAsiaTheme="majorEastAsia" w:hAnsiTheme="majorEastAsia" w:hint="eastAsia"/>
          <w:sz w:val="24"/>
          <w:szCs w:val="24"/>
        </w:rPr>
        <w:t>、所投的标书应装订成册，不接收活页形式或通过夹子成型的标书。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五、报名事项：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请符合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资格的投标人到宁波大学附属人民医院采购中心（东院区11楼-1114室）</w:t>
      </w:r>
      <w:r w:rsidR="0008072A">
        <w:rPr>
          <w:rFonts w:asciiTheme="majorEastAsia" w:eastAsiaTheme="majorEastAsia" w:hAnsiTheme="majorEastAsia" w:hint="eastAsia"/>
          <w:sz w:val="24"/>
          <w:szCs w:val="24"/>
        </w:rPr>
        <w:t>报名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或者</w:t>
      </w:r>
      <w:proofErr w:type="gramStart"/>
      <w:r w:rsidR="00D045C5">
        <w:rPr>
          <w:rFonts w:asciiTheme="majorEastAsia" w:eastAsiaTheme="majorEastAsia" w:hAnsiTheme="majorEastAsia" w:hint="eastAsia"/>
          <w:sz w:val="24"/>
          <w:szCs w:val="24"/>
        </w:rPr>
        <w:t>扫二维码</w:t>
      </w:r>
      <w:proofErr w:type="gramEnd"/>
      <w:r w:rsidR="00D045C5">
        <w:rPr>
          <w:rFonts w:asciiTheme="majorEastAsia" w:eastAsiaTheme="majorEastAsia" w:hAnsiTheme="majorEastAsia" w:hint="eastAsia"/>
          <w:sz w:val="24"/>
          <w:szCs w:val="24"/>
        </w:rPr>
        <w:t>报名，</w:t>
      </w:r>
      <w:r>
        <w:rPr>
          <w:rFonts w:asciiTheme="majorEastAsia" w:eastAsiaTheme="majorEastAsia" w:hAnsiTheme="majorEastAsia" w:hint="eastAsia"/>
          <w:sz w:val="24"/>
          <w:szCs w:val="24"/>
        </w:rPr>
        <w:t>联系人：蔡老师、肖老师，联系电话：0574-87016979。</w:t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报名截止时间2024年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日17时。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2、本次议标定于2024年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日上午</w:t>
      </w:r>
      <w:r w:rsidR="000E20B7">
        <w:rPr>
          <w:rFonts w:asciiTheme="majorEastAsia" w:eastAsiaTheme="majorEastAsia" w:hAnsiTheme="majorEastAsia" w:hint="eastAsia"/>
          <w:sz w:val="24"/>
          <w:szCs w:val="24"/>
        </w:rPr>
        <w:t>9时</w:t>
      </w:r>
      <w:r>
        <w:rPr>
          <w:rFonts w:asciiTheme="majorEastAsia" w:eastAsiaTheme="majorEastAsia" w:hAnsiTheme="majorEastAsia" w:hint="eastAsia"/>
          <w:sz w:val="24"/>
          <w:szCs w:val="24"/>
        </w:rPr>
        <w:t>，地点：16号楼</w:t>
      </w:r>
      <w:r w:rsidR="003D22BC">
        <w:rPr>
          <w:rFonts w:asciiTheme="majorEastAsia" w:eastAsiaTheme="majorEastAsia" w:hAnsiTheme="majorEastAsia" w:hint="eastAsia"/>
          <w:sz w:val="24"/>
          <w:szCs w:val="24"/>
        </w:rPr>
        <w:t>2楼</w:t>
      </w:r>
      <w:r>
        <w:rPr>
          <w:rFonts w:asciiTheme="majorEastAsia" w:eastAsiaTheme="majorEastAsia" w:hAnsiTheme="majorEastAsia" w:hint="eastAsia"/>
          <w:sz w:val="24"/>
          <w:szCs w:val="24"/>
        </w:rPr>
        <w:t>218会议室（具体时间地点将以现场报名登记时告知为准）。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3、我院为无烟医院，文明单位，院区内严禁吸烟，并要求严格做好垃圾分类，请投标人自觉遵守。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六、评标方法：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七、商务条款：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交货方式：按院方实际需要。</w:t>
      </w:r>
    </w:p>
    <w:p w:rsidR="00D045C5" w:rsidRDefault="00D045C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交货</w:t>
      </w:r>
      <w:r>
        <w:rPr>
          <w:rFonts w:asciiTheme="majorEastAsia" w:eastAsiaTheme="majorEastAsia" w:hAnsiTheme="majorEastAsia" w:hint="eastAsia"/>
          <w:sz w:val="24"/>
          <w:szCs w:val="24"/>
        </w:rPr>
        <w:t>时间</w:t>
      </w:r>
      <w:r w:rsidR="0009534D"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中标后一个月内完成。</w:t>
      </w:r>
    </w:p>
    <w:p w:rsidR="006C66A2" w:rsidRDefault="0009534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付款方式：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项目完成后三个月内支付。</w:t>
      </w:r>
    </w:p>
    <w:p w:rsidR="006C66A2" w:rsidRDefault="006C66A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C66A2" w:rsidRDefault="006C66A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6C66A2" w:rsidRDefault="0009534D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宁波大学附属人民医院</w:t>
      </w:r>
    </w:p>
    <w:p w:rsidR="006C66A2" w:rsidRDefault="0008072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2024-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D045C5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B1157C">
        <w:rPr>
          <w:rFonts w:asciiTheme="majorEastAsia" w:eastAsiaTheme="majorEastAsia" w:hAnsiTheme="majorEastAsia" w:hint="eastAsia"/>
          <w:sz w:val="24"/>
          <w:szCs w:val="24"/>
        </w:rPr>
        <w:t>8</w:t>
      </w:r>
    </w:p>
    <w:p w:rsidR="0008072A" w:rsidRDefault="0008072A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B1157C" w:rsidRDefault="00C319F1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>
            <wp:extent cx="1133475" cy="1133475"/>
            <wp:effectExtent l="19050" t="0" r="9525" b="0"/>
            <wp:docPr id="1" name="图片 1" descr="D:\微信资料\WeChat Files\wxid_0tjmequj87jh52\FileStorage\Temp\1f0b6ec1d4c1f6d41b214914da5f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f0b6ec1d4c1f6d41b214914da5fd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7C" w:rsidRDefault="00B1157C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5B5D47" w:rsidRDefault="00FE3CAF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 w:rsidR="008D10CA"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：</w:t>
      </w:r>
    </w:p>
    <w:p w:rsidR="00FE3CAF" w:rsidRPr="00FE3CAF" w:rsidRDefault="00FE3CAF" w:rsidP="00FE3CAF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FE3CAF">
        <w:rPr>
          <w:rFonts w:asciiTheme="majorEastAsia" w:eastAsiaTheme="majorEastAsia" w:hAnsiTheme="majorEastAsia" w:hint="eastAsia"/>
          <w:sz w:val="24"/>
          <w:szCs w:val="24"/>
        </w:rPr>
        <w:t>本次维护保养过程中</w:t>
      </w:r>
      <w:r w:rsidR="008D10CA">
        <w:rPr>
          <w:rFonts w:asciiTheme="majorEastAsia" w:eastAsiaTheme="majorEastAsia" w:hAnsiTheme="majorEastAsia" w:hint="eastAsia"/>
          <w:sz w:val="24"/>
          <w:szCs w:val="24"/>
        </w:rPr>
        <w:t>可能会</w:t>
      </w:r>
      <w:r w:rsidRPr="00FE3CAF">
        <w:rPr>
          <w:rFonts w:asciiTheme="majorEastAsia" w:eastAsiaTheme="majorEastAsia" w:hAnsiTheme="majorEastAsia" w:hint="eastAsia"/>
          <w:sz w:val="24"/>
          <w:szCs w:val="24"/>
        </w:rPr>
        <w:t>遇到相关配件故障需</w:t>
      </w:r>
      <w:r w:rsidR="008D10CA">
        <w:rPr>
          <w:rFonts w:asciiTheme="majorEastAsia" w:eastAsiaTheme="majorEastAsia" w:hAnsiTheme="majorEastAsia" w:hint="eastAsia"/>
          <w:sz w:val="24"/>
          <w:szCs w:val="24"/>
        </w:rPr>
        <w:t>要</w:t>
      </w:r>
      <w:r w:rsidRPr="00FE3CAF">
        <w:rPr>
          <w:rFonts w:asciiTheme="majorEastAsia" w:eastAsiaTheme="majorEastAsia" w:hAnsiTheme="majorEastAsia" w:hint="eastAsia"/>
          <w:sz w:val="24"/>
          <w:szCs w:val="24"/>
        </w:rPr>
        <w:t>更换，</w:t>
      </w:r>
      <w:r w:rsidR="008D10CA">
        <w:rPr>
          <w:rFonts w:asciiTheme="majorEastAsia" w:eastAsiaTheme="majorEastAsia" w:hAnsiTheme="majorEastAsia" w:hint="eastAsia"/>
          <w:sz w:val="24"/>
          <w:szCs w:val="24"/>
        </w:rPr>
        <w:t>请投标人</w:t>
      </w:r>
      <w:r w:rsidRPr="00FE3CAF">
        <w:rPr>
          <w:rFonts w:asciiTheme="majorEastAsia" w:eastAsiaTheme="majorEastAsia" w:hAnsiTheme="majorEastAsia" w:hint="eastAsia"/>
          <w:sz w:val="24"/>
          <w:szCs w:val="24"/>
        </w:rPr>
        <w:t>按照附件内的清单</w:t>
      </w:r>
      <w:r>
        <w:rPr>
          <w:rFonts w:asciiTheme="majorEastAsia" w:eastAsiaTheme="majorEastAsia" w:hAnsiTheme="majorEastAsia" w:hint="eastAsia"/>
          <w:sz w:val="24"/>
          <w:szCs w:val="24"/>
        </w:rPr>
        <w:t>提供报价</w:t>
      </w:r>
      <w:r w:rsidR="002E1976">
        <w:rPr>
          <w:rFonts w:asciiTheme="majorEastAsia" w:eastAsiaTheme="majorEastAsia" w:hAnsiTheme="majorEastAsia" w:hint="eastAsia"/>
          <w:sz w:val="24"/>
          <w:szCs w:val="24"/>
        </w:rPr>
        <w:t>，以作参考</w:t>
      </w:r>
      <w:r w:rsidRPr="00FE3CA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E3CAF" w:rsidRPr="00FE3CAF" w:rsidRDefault="00FE3CAF" w:rsidP="00FE3CA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E3CAF">
        <w:rPr>
          <w:rFonts w:asciiTheme="majorEastAsia" w:eastAsiaTheme="majorEastAsia" w:hAnsiTheme="majorEastAsia" w:hint="eastAsia"/>
          <w:sz w:val="24"/>
          <w:szCs w:val="24"/>
        </w:rPr>
        <w:t>配件清单</w:t>
      </w:r>
      <w:r>
        <w:rPr>
          <w:rFonts w:asciiTheme="majorEastAsia" w:eastAsiaTheme="majorEastAsia" w:hAnsiTheme="majorEastAsia" w:hint="eastAsia"/>
          <w:sz w:val="24"/>
          <w:szCs w:val="24"/>
        </w:rPr>
        <w:t>（配件要求均为</w:t>
      </w:r>
      <w:r w:rsidRPr="003A1520">
        <w:rPr>
          <w:rFonts w:asciiTheme="majorEastAsia" w:eastAsiaTheme="majorEastAsia" w:hAnsiTheme="majorEastAsia" w:hint="eastAsia"/>
          <w:sz w:val="24"/>
          <w:szCs w:val="24"/>
        </w:rPr>
        <w:t>ABB原厂</w:t>
      </w:r>
      <w:r>
        <w:rPr>
          <w:rFonts w:asciiTheme="majorEastAsia" w:eastAsiaTheme="majorEastAsia" w:hAnsiTheme="majorEastAsia" w:hint="eastAsia"/>
          <w:sz w:val="24"/>
          <w:szCs w:val="24"/>
        </w:rPr>
        <w:t>生产）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1"/>
        <w:gridCol w:w="2390"/>
        <w:gridCol w:w="1180"/>
        <w:gridCol w:w="2754"/>
      </w:tblGrid>
      <w:tr w:rsidR="00FE3CAF" w:rsidTr="00FE3CAF">
        <w:tc>
          <w:tcPr>
            <w:tcW w:w="1581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配件名称</w:t>
            </w: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型号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报价</w:t>
            </w: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FE3CAF" w:rsidTr="00FE3CAF">
        <w:tc>
          <w:tcPr>
            <w:tcW w:w="1581" w:type="dxa"/>
            <w:vMerge w:val="restart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脱扣器</w:t>
            </w: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PR112/P-LSIG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Merge/>
            <w:vAlign w:val="center"/>
          </w:tcPr>
          <w:p w:rsidR="00FE3CAF" w:rsidRDefault="00FE3CAF" w:rsidP="007D5047">
            <w:pPr>
              <w:spacing w:line="360" w:lineRule="auto"/>
              <w:ind w:firstLine="442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PR111/P-LSI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Merge/>
            <w:vAlign w:val="center"/>
          </w:tcPr>
          <w:p w:rsidR="00FE3CAF" w:rsidRDefault="00FE3CAF" w:rsidP="007D5047">
            <w:pPr>
              <w:spacing w:line="360" w:lineRule="auto"/>
              <w:ind w:firstLine="442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PR111/P-LI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储能电机</w:t>
            </w: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Motor For </w:t>
            </w:r>
            <w:proofErr w:type="spellStart"/>
            <w:r>
              <w:rPr>
                <w:rFonts w:ascii="宋体" w:eastAsia="宋体" w:hAnsi="宋体" w:cs="宋体" w:hint="eastAsia"/>
                <w:sz w:val="22"/>
              </w:rPr>
              <w:t>Emax</w:t>
            </w:r>
            <w:proofErr w:type="spellEnd"/>
            <w:r>
              <w:rPr>
                <w:rFonts w:ascii="宋体" w:eastAsia="宋体" w:hAnsi="宋体" w:cs="宋体" w:hint="eastAsia"/>
                <w:sz w:val="22"/>
              </w:rPr>
              <w:t xml:space="preserve"> 220V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合闸线圈</w:t>
            </w: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sz w:val="22"/>
              </w:rPr>
              <w:t>Yc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 xml:space="preserve"> for 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Emax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 xml:space="preserve"> 220V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</w:rPr>
              <w:t>分闸线圈</w:t>
            </w:r>
            <w:proofErr w:type="gramEnd"/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sz w:val="22"/>
              </w:rPr>
              <w:t>Yo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 xml:space="preserve"> for 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Emax</w:t>
            </w:r>
            <w:proofErr w:type="spellEnd"/>
            <w:r>
              <w:rPr>
                <w:rFonts w:ascii="宋体" w:hAnsi="宋体" w:cs="宋体" w:hint="eastAsia"/>
                <w:sz w:val="22"/>
              </w:rPr>
              <w:t xml:space="preserve"> 220V</w:t>
            </w:r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  <w:tr w:rsidR="00FE3CAF" w:rsidTr="00FE3CAF">
        <w:tc>
          <w:tcPr>
            <w:tcW w:w="1581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铝合金滑片</w:t>
            </w:r>
          </w:p>
        </w:tc>
        <w:tc>
          <w:tcPr>
            <w:tcW w:w="2390" w:type="dxa"/>
            <w:vAlign w:val="center"/>
          </w:tcPr>
          <w:p w:rsidR="00FE3CAF" w:rsidRDefault="00FE3CAF" w:rsidP="007D5047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Slide for </w:t>
            </w:r>
            <w:proofErr w:type="spellStart"/>
            <w:r>
              <w:rPr>
                <w:rFonts w:ascii="宋体" w:hAnsi="宋体" w:cs="宋体" w:hint="eastAsia"/>
                <w:sz w:val="22"/>
              </w:rPr>
              <w:t>Emax</w:t>
            </w:r>
            <w:proofErr w:type="spellEnd"/>
          </w:p>
        </w:tc>
        <w:tc>
          <w:tcPr>
            <w:tcW w:w="1180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54" w:type="dxa"/>
            <w:vAlign w:val="center"/>
          </w:tcPr>
          <w:p w:rsidR="00FE3CAF" w:rsidRDefault="00FE3CAF" w:rsidP="007D5047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低压断路器用</w:t>
            </w:r>
          </w:p>
        </w:tc>
      </w:tr>
    </w:tbl>
    <w:p w:rsidR="00747892" w:rsidRDefault="0074789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6C66A2" w:rsidRDefault="0074789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附件2：项目</w:t>
      </w:r>
      <w:r w:rsidR="0009534D">
        <w:rPr>
          <w:rFonts w:ascii="仿宋" w:eastAsia="仿宋" w:hAnsi="仿宋"/>
          <w:b/>
          <w:sz w:val="24"/>
          <w:szCs w:val="24"/>
        </w:rPr>
        <w:t>评分</w:t>
      </w:r>
      <w:r w:rsidR="0009534D">
        <w:rPr>
          <w:rFonts w:ascii="仿宋" w:eastAsia="仿宋" w:hAnsi="仿宋" w:hint="eastAsia"/>
          <w:b/>
          <w:sz w:val="24"/>
          <w:szCs w:val="24"/>
        </w:rPr>
        <w:t>表：</w:t>
      </w:r>
    </w:p>
    <w:tbl>
      <w:tblPr>
        <w:tblW w:w="8880" w:type="dxa"/>
        <w:tblInd w:w="-109" w:type="dxa"/>
        <w:tblCellMar>
          <w:top w:w="129" w:type="dxa"/>
          <w:left w:w="107" w:type="dxa"/>
          <w:right w:w="0" w:type="dxa"/>
        </w:tblCellMar>
        <w:tblLook w:val="04A0"/>
      </w:tblPr>
      <w:tblGrid>
        <w:gridCol w:w="1156"/>
        <w:gridCol w:w="1895"/>
        <w:gridCol w:w="5829"/>
      </w:tblGrid>
      <w:tr w:rsidR="006C66A2" w:rsidRPr="0098012F">
        <w:trPr>
          <w:trHeight w:val="402"/>
        </w:trPr>
        <w:tc>
          <w:tcPr>
            <w:tcW w:w="8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66A2" w:rsidRPr="0098012F" w:rsidRDefault="0009534D">
            <w:pPr>
              <w:spacing w:line="259" w:lineRule="auto"/>
              <w:ind w:right="9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评分项及分值</w:t>
            </w:r>
          </w:p>
        </w:tc>
      </w:tr>
      <w:tr w:rsidR="006C66A2" w:rsidRPr="0098012F" w:rsidTr="007C2775">
        <w:trPr>
          <w:trHeight w:val="1374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09534D">
            <w:pPr>
              <w:spacing w:after="85" w:line="259" w:lineRule="auto"/>
              <w:ind w:left="65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商务技术</w:t>
            </w:r>
          </w:p>
          <w:p w:rsidR="006C66A2" w:rsidRPr="0098012F" w:rsidRDefault="0009534D" w:rsidP="00CE1879">
            <w:pPr>
              <w:spacing w:line="259" w:lineRule="auto"/>
              <w:ind w:right="-2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分（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75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09534D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资质和</w:t>
            </w:r>
            <w:r w:rsidR="00E26C86" w:rsidRPr="0098012F">
              <w:rPr>
                <w:rFonts w:ascii="宋体" w:eastAsia="宋体" w:hAnsi="宋体" w:hint="eastAsia"/>
                <w:sz w:val="24"/>
                <w:szCs w:val="24"/>
              </w:rPr>
              <w:t>服务能力</w:t>
            </w:r>
          </w:p>
          <w:p w:rsidR="006C66A2" w:rsidRPr="0098012F" w:rsidRDefault="0009534D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98012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6A2" w:rsidRPr="0098012F" w:rsidRDefault="00E26C86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根据投标人的资质及服务能力进行综合评定，最高得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EB022E" w:rsidRPr="0098012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5B5D47" w:rsidRPr="0098012F" w:rsidTr="007C2775">
        <w:trPr>
          <w:trHeight w:val="637"/>
        </w:trPr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D47" w:rsidRPr="0098012F" w:rsidRDefault="005B5D47">
            <w:pPr>
              <w:spacing w:after="85" w:line="259" w:lineRule="auto"/>
              <w:ind w:left="6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D47" w:rsidRPr="0098012F" w:rsidRDefault="003B68D5" w:rsidP="005B5D47">
            <w:pPr>
              <w:spacing w:after="86" w:line="259" w:lineRule="auto"/>
              <w:ind w:left="1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现状</w:t>
            </w:r>
            <w:r w:rsidR="005B5D47" w:rsidRPr="0098012F">
              <w:rPr>
                <w:rFonts w:ascii="宋体" w:eastAsia="宋体" w:hAnsi="宋体"/>
                <w:sz w:val="24"/>
                <w:szCs w:val="24"/>
              </w:rPr>
              <w:t>情况了解及分析</w:t>
            </w:r>
          </w:p>
          <w:p w:rsidR="005B5D47" w:rsidRPr="0098012F" w:rsidRDefault="005B5D47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（1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5D47" w:rsidRPr="0098012F" w:rsidRDefault="00E26C86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</w:t>
            </w:r>
            <w:r w:rsidR="005B5D47" w:rsidRPr="0098012F">
              <w:rPr>
                <w:rFonts w:ascii="宋体" w:eastAsia="宋体" w:hAnsi="宋体"/>
                <w:sz w:val="24"/>
                <w:szCs w:val="24"/>
              </w:rPr>
              <w:t>针对本项目的</w:t>
            </w:r>
            <w:r w:rsidR="003B68D5" w:rsidRPr="0098012F">
              <w:rPr>
                <w:rFonts w:ascii="宋体" w:eastAsia="宋体" w:hAnsi="宋体"/>
                <w:sz w:val="24"/>
                <w:szCs w:val="24"/>
              </w:rPr>
              <w:t>设备现场实际情况的了解、分析</w:t>
            </w:r>
            <w:r w:rsidR="005B5D47" w:rsidRPr="0098012F">
              <w:rPr>
                <w:rFonts w:ascii="宋体" w:eastAsia="宋体" w:hAnsi="宋体"/>
                <w:sz w:val="24"/>
                <w:szCs w:val="24"/>
              </w:rPr>
              <w:t>进行综合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评定</w:t>
            </w:r>
            <w:r w:rsidR="005B5D47" w:rsidRPr="0098012F">
              <w:rPr>
                <w:rFonts w:ascii="宋体" w:eastAsia="宋体" w:hAnsi="宋体"/>
                <w:sz w:val="24"/>
                <w:szCs w:val="24"/>
              </w:rPr>
              <w:t>（最高1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5B5D47"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</w:p>
        </w:tc>
      </w:tr>
      <w:tr w:rsidR="006C66A2" w:rsidRPr="0098012F" w:rsidTr="007C2775">
        <w:trPr>
          <w:trHeight w:val="637"/>
        </w:trPr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6C66A2">
            <w:pPr>
              <w:spacing w:after="85" w:line="259" w:lineRule="auto"/>
              <w:ind w:left="6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3B68D5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实施</w:t>
            </w:r>
            <w:r w:rsidR="0009534D" w:rsidRPr="0098012F">
              <w:rPr>
                <w:rFonts w:ascii="宋体" w:eastAsia="宋体" w:hAnsi="宋体" w:hint="eastAsia"/>
                <w:sz w:val="24"/>
                <w:szCs w:val="24"/>
              </w:rPr>
              <w:t>方案（2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09534D" w:rsidRPr="0098012F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6A2" w:rsidRPr="0098012F" w:rsidRDefault="0009534D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根据投标人提供的本项目</w:t>
            </w:r>
            <w:r w:rsidR="003B68D5" w:rsidRPr="0098012F">
              <w:rPr>
                <w:rFonts w:ascii="宋体" w:eastAsia="宋体" w:hAnsi="宋体" w:hint="eastAsia"/>
                <w:sz w:val="24"/>
                <w:szCs w:val="24"/>
              </w:rPr>
              <w:t>实施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方案</w:t>
            </w:r>
            <w:r w:rsidR="003B68D5" w:rsidRPr="0098012F">
              <w:rPr>
                <w:rFonts w:ascii="宋体" w:eastAsia="宋体" w:hAnsi="宋体" w:hint="eastAsia"/>
                <w:sz w:val="24"/>
                <w:szCs w:val="24"/>
              </w:rPr>
              <w:t>是否科学合理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、针对性强、</w:t>
            </w:r>
            <w:r w:rsidR="007C2775" w:rsidRPr="0098012F">
              <w:rPr>
                <w:rFonts w:ascii="宋体" w:eastAsia="宋体" w:hAnsi="宋体" w:hint="eastAsia"/>
                <w:sz w:val="24"/>
                <w:szCs w:val="24"/>
              </w:rPr>
              <w:t>工期安排合理、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安全措施有力</w:t>
            </w:r>
            <w:r w:rsidR="00EB022E" w:rsidRPr="0098012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3B68D5" w:rsidRPr="0098012F">
              <w:rPr>
                <w:rFonts w:ascii="宋体" w:eastAsia="宋体" w:hAnsi="宋体" w:hint="eastAsia"/>
                <w:sz w:val="24"/>
                <w:szCs w:val="24"/>
              </w:rPr>
              <w:t>进行综合评定，最高得2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3B68D5" w:rsidRPr="0098012F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6C66A2" w:rsidRPr="0098012F" w:rsidTr="007C2775">
        <w:trPr>
          <w:trHeight w:val="1487"/>
        </w:trPr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66A2" w:rsidRPr="0098012F" w:rsidRDefault="006C66A2">
            <w:pPr>
              <w:spacing w:after="160" w:line="259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75" w:rsidRPr="0098012F" w:rsidRDefault="000352BB" w:rsidP="005B08C3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人员配备情况</w:t>
            </w:r>
          </w:p>
          <w:p w:rsidR="006C66A2" w:rsidRPr="0098012F" w:rsidRDefault="0009534D" w:rsidP="005B08C3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5B08C3" w:rsidRPr="0098012F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66A2" w:rsidRPr="0098012F" w:rsidRDefault="0009534D" w:rsidP="000352BB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根据投标人针对本项目的</w:t>
            </w:r>
            <w:r w:rsidR="000352BB" w:rsidRPr="0098012F">
              <w:rPr>
                <w:rFonts w:ascii="宋体" w:eastAsia="宋体" w:hAnsi="宋体" w:hint="eastAsia"/>
                <w:sz w:val="24"/>
                <w:szCs w:val="24"/>
              </w:rPr>
              <w:t>人员配备及资质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情况进行评议。</w:t>
            </w:r>
          </w:p>
          <w:p w:rsidR="000352BB" w:rsidRPr="0098012F" w:rsidRDefault="000352BB" w:rsidP="005B08C3">
            <w:pPr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1.具备ABB智慧电力产品的中级服务技术认证的得3分。</w:t>
            </w:r>
          </w:p>
          <w:p w:rsidR="000352BB" w:rsidRPr="0098012F" w:rsidRDefault="000352BB" w:rsidP="000352BB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5B08C3" w:rsidRPr="0098012F">
              <w:rPr>
                <w:rFonts w:ascii="宋体" w:eastAsia="宋体" w:hAnsi="宋体" w:hint="eastAsia"/>
                <w:sz w:val="24"/>
                <w:szCs w:val="24"/>
              </w:rPr>
              <w:t>具备高低压电工作业资格证书的，每提供一人得1分，最多得3分。（以上人员需提供有效证书及近三月内任意一个月的</w:t>
            </w:r>
            <w:proofErr w:type="gramStart"/>
            <w:r w:rsidR="005B08C3" w:rsidRPr="0098012F">
              <w:rPr>
                <w:rFonts w:ascii="宋体" w:eastAsia="宋体" w:hAnsi="宋体" w:hint="eastAsia"/>
                <w:sz w:val="24"/>
                <w:szCs w:val="24"/>
              </w:rPr>
              <w:t>社保证明</w:t>
            </w:r>
            <w:proofErr w:type="gramEnd"/>
            <w:r w:rsidR="005B08C3" w:rsidRPr="0098012F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6C66A2" w:rsidRPr="0098012F" w:rsidTr="007C2775">
        <w:trPr>
          <w:trHeight w:val="11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66A2" w:rsidRPr="0098012F" w:rsidRDefault="006C66A2">
            <w:pPr>
              <w:spacing w:after="160" w:line="259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8C3" w:rsidRPr="0098012F" w:rsidRDefault="005B08C3" w:rsidP="00364FEC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服务承诺</w:t>
            </w:r>
          </w:p>
          <w:p w:rsidR="006C66A2" w:rsidRPr="0098012F" w:rsidRDefault="0009534D" w:rsidP="00364FEC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C2775" w:rsidRPr="0098012F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364FEC" w:rsidRPr="0098012F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6A2" w:rsidRPr="0098012F" w:rsidRDefault="005B08C3" w:rsidP="00364FEC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根据投标人提供的质保期限，售后服务响应时间、应急处理人员到场时间及时性，服务便捷性等进行综合评定，最高得</w:t>
            </w:r>
            <w:r w:rsidR="007C2775" w:rsidRPr="0098012F"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分。</w:t>
            </w:r>
          </w:p>
        </w:tc>
      </w:tr>
      <w:tr w:rsidR="006C66A2" w:rsidRPr="0098012F" w:rsidTr="007C2775">
        <w:trPr>
          <w:trHeight w:val="11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66A2" w:rsidRPr="0098012F" w:rsidRDefault="006C66A2">
            <w:pPr>
              <w:spacing w:after="160" w:line="259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C9" w:rsidRPr="0098012F" w:rsidRDefault="0009534D" w:rsidP="00166C35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合理化建议</w:t>
            </w:r>
          </w:p>
          <w:p w:rsidR="006C66A2" w:rsidRPr="0098012F" w:rsidRDefault="0009534D" w:rsidP="00CE1879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6A2" w:rsidRPr="0098012F" w:rsidRDefault="0009534D" w:rsidP="005C537C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根据投标人提出的针对本项目的合理化建议</w:t>
            </w:r>
            <w:r w:rsidR="00364FEC" w:rsidRPr="0098012F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="007C2775" w:rsidRPr="0098012F">
              <w:rPr>
                <w:rFonts w:ascii="宋体" w:eastAsia="宋体" w:hAnsi="宋体" w:hint="eastAsia"/>
                <w:sz w:val="24"/>
                <w:szCs w:val="24"/>
              </w:rPr>
              <w:t>其他相关</w:t>
            </w:r>
            <w:r w:rsidR="00364FEC" w:rsidRPr="0098012F">
              <w:rPr>
                <w:rFonts w:ascii="宋体" w:eastAsia="宋体" w:hAnsi="宋体" w:hint="eastAsia"/>
                <w:sz w:val="24"/>
                <w:szCs w:val="24"/>
              </w:rPr>
              <w:t>配件报价</w:t>
            </w:r>
            <w:r w:rsidR="00DA00BA" w:rsidRPr="0098012F">
              <w:rPr>
                <w:rFonts w:ascii="宋体" w:eastAsia="宋体" w:hAnsi="宋体" w:hint="eastAsia"/>
                <w:sz w:val="24"/>
                <w:szCs w:val="24"/>
              </w:rPr>
              <w:t>合理性</w:t>
            </w:r>
            <w:r w:rsidR="007C2775" w:rsidRPr="0098012F">
              <w:rPr>
                <w:rFonts w:ascii="宋体" w:eastAsia="宋体" w:hAnsi="宋体" w:hint="eastAsia"/>
                <w:sz w:val="24"/>
                <w:szCs w:val="24"/>
              </w:rPr>
              <w:t>、优惠力度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进行评议。</w:t>
            </w:r>
            <w:r w:rsidR="00166C35" w:rsidRPr="0098012F">
              <w:rPr>
                <w:rFonts w:ascii="宋体" w:eastAsia="宋体" w:hAnsi="宋体"/>
                <w:sz w:val="24"/>
                <w:szCs w:val="24"/>
              </w:rPr>
              <w:t>（最高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166C35"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6C66A2" w:rsidRPr="0098012F" w:rsidTr="007C2775">
        <w:trPr>
          <w:trHeight w:val="90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6A2" w:rsidRPr="0098012F" w:rsidRDefault="006C66A2">
            <w:pPr>
              <w:spacing w:after="160" w:line="259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09534D">
            <w:pPr>
              <w:spacing w:after="88" w:line="259" w:lineRule="auto"/>
              <w:ind w:left="56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项目业绩</w:t>
            </w:r>
          </w:p>
          <w:p w:rsidR="006C66A2" w:rsidRPr="0098012F" w:rsidRDefault="0009534D" w:rsidP="000352BB">
            <w:pPr>
              <w:spacing w:line="259" w:lineRule="auto"/>
              <w:ind w:left="186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（</w:t>
            </w:r>
            <w:r w:rsidR="000352BB" w:rsidRPr="0098012F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6A2" w:rsidRPr="0098012F" w:rsidRDefault="0009534D">
            <w:pPr>
              <w:spacing w:after="2" w:line="335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投标人自20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21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年1月1日以来，承担过</w:t>
            </w:r>
            <w:r w:rsidR="000352BB" w:rsidRPr="0098012F">
              <w:rPr>
                <w:rFonts w:ascii="宋体" w:eastAsia="宋体" w:hAnsi="宋体" w:hint="eastAsia"/>
                <w:sz w:val="24"/>
                <w:szCs w:val="24"/>
              </w:rPr>
              <w:t>同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类项目的业绩，每个得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分，最高</w:t>
            </w:r>
            <w:r w:rsidR="000352BB" w:rsidRPr="0098012F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分；</w:t>
            </w:r>
          </w:p>
          <w:p w:rsidR="006C66A2" w:rsidRPr="0098012F" w:rsidRDefault="0009534D">
            <w:pPr>
              <w:spacing w:line="259" w:lineRule="auto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注：投标文件中提供合同复印件加盖公章，未</w:t>
            </w:r>
            <w:r w:rsidR="0027045F">
              <w:rPr>
                <w:rFonts w:ascii="宋体" w:eastAsia="宋体" w:hAnsi="宋体" w:hint="eastAsia"/>
                <w:sz w:val="24"/>
                <w:szCs w:val="24"/>
              </w:rPr>
              <w:t>按要求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提供不得分，时间以合同签订时间为准。</w:t>
            </w:r>
          </w:p>
        </w:tc>
      </w:tr>
      <w:tr w:rsidR="006C66A2" w:rsidRPr="0098012F">
        <w:trPr>
          <w:trHeight w:val="153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6A2" w:rsidRPr="0098012F" w:rsidRDefault="0009534D">
            <w:pPr>
              <w:spacing w:after="85" w:line="259" w:lineRule="auto"/>
              <w:ind w:left="167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lastRenderedPageBreak/>
              <w:t>价格分</w:t>
            </w:r>
          </w:p>
          <w:p w:rsidR="006C66A2" w:rsidRPr="0098012F" w:rsidRDefault="0009534D" w:rsidP="00CE1879">
            <w:pPr>
              <w:spacing w:line="259" w:lineRule="auto"/>
              <w:ind w:left="42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8012F">
              <w:rPr>
                <w:rFonts w:ascii="宋体" w:eastAsia="宋体" w:hAnsi="宋体"/>
                <w:sz w:val="24"/>
                <w:szCs w:val="24"/>
              </w:rPr>
              <w:t>分）</w:t>
            </w:r>
          </w:p>
        </w:tc>
        <w:tc>
          <w:tcPr>
            <w:tcW w:w="7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B5D47" w:rsidRPr="0098012F" w:rsidRDefault="005B5D47" w:rsidP="005B5D47">
            <w:pPr>
              <w:tabs>
                <w:tab w:val="left" w:pos="0"/>
              </w:tabs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评标基准价指的是满足招标文件要求且最低的参与评审的价格。</w:t>
            </w:r>
          </w:p>
          <w:p w:rsidR="005B5D47" w:rsidRPr="0098012F" w:rsidRDefault="005B5D47" w:rsidP="005B5D47">
            <w:pPr>
              <w:tabs>
                <w:tab w:val="left" w:pos="0"/>
              </w:tabs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参与评审的价格为评标基准价的其价格得分得满分2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分。</w:t>
            </w:r>
          </w:p>
          <w:p w:rsidR="005B5D47" w:rsidRPr="0098012F" w:rsidRDefault="005B5D47" w:rsidP="005B5D47">
            <w:pPr>
              <w:tabs>
                <w:tab w:val="left" w:pos="0"/>
              </w:tabs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其他投标人价格得分按照下列公式计算：</w:t>
            </w:r>
          </w:p>
          <w:p w:rsidR="005B5D47" w:rsidRPr="0098012F" w:rsidRDefault="005B5D47" w:rsidP="005B5D47">
            <w:pPr>
              <w:tabs>
                <w:tab w:val="left" w:pos="0"/>
              </w:tabs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价格得分=（评标基准价/各投标人参与评审的价格）×2</w:t>
            </w:r>
            <w:r w:rsidR="00CE1879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8012F">
              <w:rPr>
                <w:rFonts w:ascii="宋体" w:eastAsia="宋体" w:hAnsi="宋体" w:hint="eastAsia"/>
                <w:sz w:val="24"/>
                <w:szCs w:val="24"/>
              </w:rPr>
              <w:t>％×100。</w:t>
            </w:r>
          </w:p>
          <w:p w:rsidR="005B5D47" w:rsidRPr="0098012F" w:rsidRDefault="005B5D47" w:rsidP="005B5D47">
            <w:pPr>
              <w:tabs>
                <w:tab w:val="left" w:pos="0"/>
              </w:tabs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注：1、投标报价超过对应最高限价的作无效标处理。</w:t>
            </w:r>
          </w:p>
          <w:p w:rsidR="006C66A2" w:rsidRPr="0098012F" w:rsidRDefault="005B5D47" w:rsidP="005B5D47">
            <w:pPr>
              <w:widowControl/>
              <w:spacing w:line="259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8012F">
              <w:rPr>
                <w:rFonts w:ascii="宋体" w:eastAsia="宋体" w:hAnsi="宋体" w:hint="eastAsia"/>
                <w:sz w:val="24"/>
                <w:szCs w:val="24"/>
              </w:rPr>
              <w:t>2、价格得分小数点后保留2位小数，第3位小数四舍五入。</w:t>
            </w:r>
          </w:p>
        </w:tc>
      </w:tr>
    </w:tbl>
    <w:p w:rsidR="006C66A2" w:rsidRPr="0098012F" w:rsidRDefault="006C66A2" w:rsidP="004F7344">
      <w:pPr>
        <w:rPr>
          <w:rFonts w:ascii="宋体" w:eastAsia="宋体" w:hAnsi="宋体"/>
          <w:w w:val="80"/>
        </w:rPr>
      </w:pPr>
    </w:p>
    <w:sectPr w:rsidR="006C66A2" w:rsidRPr="0098012F" w:rsidSect="006C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C0" w:rsidRDefault="002263C0" w:rsidP="0009534D">
      <w:r>
        <w:separator/>
      </w:r>
    </w:p>
  </w:endnote>
  <w:endnote w:type="continuationSeparator" w:id="0">
    <w:p w:rsidR="002263C0" w:rsidRDefault="002263C0" w:rsidP="0009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C0" w:rsidRDefault="002263C0" w:rsidP="0009534D">
      <w:r>
        <w:separator/>
      </w:r>
    </w:p>
  </w:footnote>
  <w:footnote w:type="continuationSeparator" w:id="0">
    <w:p w:rsidR="002263C0" w:rsidRDefault="002263C0" w:rsidP="0009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00000039"/>
    <w:multiLevelType w:val="multilevel"/>
    <w:tmpl w:val="0000003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00000048"/>
    <w:multiLevelType w:val="multilevel"/>
    <w:tmpl w:val="0000004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0000004E"/>
    <w:multiLevelType w:val="multilevel"/>
    <w:tmpl w:val="0000004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000004F"/>
    <w:multiLevelType w:val="multilevel"/>
    <w:tmpl w:val="0000004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000005C"/>
    <w:multiLevelType w:val="multilevel"/>
    <w:tmpl w:val="0000005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6B"/>
    <w:multiLevelType w:val="multilevel"/>
    <w:tmpl w:val="0000006B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3F081"/>
    <w:multiLevelType w:val="multilevel"/>
    <w:tmpl w:val="0003F08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4">
    <w:nsid w:val="0003F084"/>
    <w:multiLevelType w:val="multilevel"/>
    <w:tmpl w:val="0003F084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5">
    <w:nsid w:val="0003F088"/>
    <w:multiLevelType w:val="multilevel"/>
    <w:tmpl w:val="0003F08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6">
    <w:nsid w:val="0003F08C"/>
    <w:multiLevelType w:val="multilevel"/>
    <w:tmpl w:val="0003F08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7">
    <w:nsid w:val="0003F096"/>
    <w:multiLevelType w:val="multilevel"/>
    <w:tmpl w:val="0003F096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8">
    <w:nsid w:val="0003F099"/>
    <w:multiLevelType w:val="multilevel"/>
    <w:tmpl w:val="0003F09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9">
    <w:nsid w:val="0003F09F"/>
    <w:multiLevelType w:val="multilevel"/>
    <w:tmpl w:val="0003F09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0003F0B9"/>
    <w:multiLevelType w:val="multilevel"/>
    <w:tmpl w:val="0003F0B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1">
    <w:nsid w:val="0003F0BD"/>
    <w:multiLevelType w:val="multilevel"/>
    <w:tmpl w:val="0003F0B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2">
    <w:nsid w:val="0003F0BF"/>
    <w:multiLevelType w:val="multilevel"/>
    <w:tmpl w:val="0003F0B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3">
    <w:nsid w:val="0003F0C5"/>
    <w:multiLevelType w:val="multilevel"/>
    <w:tmpl w:val="0003F0C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4">
    <w:nsid w:val="0003F0CE"/>
    <w:multiLevelType w:val="multilevel"/>
    <w:tmpl w:val="0003F0C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5">
    <w:nsid w:val="0003F0DC"/>
    <w:multiLevelType w:val="multilevel"/>
    <w:tmpl w:val="0003F0D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6">
    <w:nsid w:val="0A3E7236"/>
    <w:multiLevelType w:val="singleLevel"/>
    <w:tmpl w:val="0A3E72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0DAD500E"/>
    <w:multiLevelType w:val="multilevel"/>
    <w:tmpl w:val="0DAD500E"/>
    <w:lvl w:ilvl="0">
      <w:start w:val="1"/>
      <w:numFmt w:val="decimal"/>
      <w:lvlText w:val="%1)"/>
      <w:lvlJc w:val="left"/>
      <w:pPr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8">
    <w:nsid w:val="1AEA3AE6"/>
    <w:multiLevelType w:val="hybridMultilevel"/>
    <w:tmpl w:val="D0560EBA"/>
    <w:lvl w:ilvl="0" w:tplc="94D42340">
      <w:start w:val="4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8F540D2"/>
    <w:multiLevelType w:val="multilevel"/>
    <w:tmpl w:val="38F540D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B635919"/>
    <w:multiLevelType w:val="multilevel"/>
    <w:tmpl w:val="4B635919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24F715D"/>
    <w:multiLevelType w:val="multilevel"/>
    <w:tmpl w:val="524F715D"/>
    <w:lvl w:ilvl="0">
      <w:start w:val="1"/>
      <w:numFmt w:val="decimal"/>
      <w:lvlText w:val="%1、"/>
      <w:lvlJc w:val="left"/>
      <w:pPr>
        <w:ind w:left="3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2">
    <w:nsid w:val="5439609D"/>
    <w:multiLevelType w:val="multilevel"/>
    <w:tmpl w:val="5439609D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30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16"/>
  </w:num>
  <w:num w:numId="21">
    <w:abstractNumId w:val="19"/>
  </w:num>
  <w:num w:numId="22">
    <w:abstractNumId w:val="20"/>
  </w:num>
  <w:num w:numId="23">
    <w:abstractNumId w:val="18"/>
  </w:num>
  <w:num w:numId="24">
    <w:abstractNumId w:val="21"/>
  </w:num>
  <w:num w:numId="25">
    <w:abstractNumId w:val="13"/>
  </w:num>
  <w:num w:numId="26">
    <w:abstractNumId w:val="17"/>
  </w:num>
  <w:num w:numId="27">
    <w:abstractNumId w:val="25"/>
  </w:num>
  <w:num w:numId="28">
    <w:abstractNumId w:val="14"/>
  </w:num>
  <w:num w:numId="29">
    <w:abstractNumId w:val="23"/>
  </w:num>
  <w:num w:numId="30">
    <w:abstractNumId w:val="27"/>
  </w:num>
  <w:num w:numId="31">
    <w:abstractNumId w:val="32"/>
  </w:num>
  <w:num w:numId="32">
    <w:abstractNumId w:val="2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NmMmJmN2RiNDkxMWYxNDJjZTkyMTczNzk5N2RhNDQifQ=="/>
  </w:docVars>
  <w:rsids>
    <w:rsidRoot w:val="00612DDE"/>
    <w:rsid w:val="00007132"/>
    <w:rsid w:val="00024D8E"/>
    <w:rsid w:val="000352BB"/>
    <w:rsid w:val="0005087A"/>
    <w:rsid w:val="0008072A"/>
    <w:rsid w:val="0009534D"/>
    <w:rsid w:val="000E20B7"/>
    <w:rsid w:val="000E4623"/>
    <w:rsid w:val="000E5D25"/>
    <w:rsid w:val="000F17D9"/>
    <w:rsid w:val="00120A41"/>
    <w:rsid w:val="00166C35"/>
    <w:rsid w:val="00171E4E"/>
    <w:rsid w:val="00190306"/>
    <w:rsid w:val="001E19AE"/>
    <w:rsid w:val="002263C0"/>
    <w:rsid w:val="0027045F"/>
    <w:rsid w:val="00281B00"/>
    <w:rsid w:val="0028528B"/>
    <w:rsid w:val="002C324D"/>
    <w:rsid w:val="002E1976"/>
    <w:rsid w:val="0032276A"/>
    <w:rsid w:val="00330D11"/>
    <w:rsid w:val="00343BC3"/>
    <w:rsid w:val="00364FEC"/>
    <w:rsid w:val="00374B0A"/>
    <w:rsid w:val="00375140"/>
    <w:rsid w:val="003A1520"/>
    <w:rsid w:val="003B68D5"/>
    <w:rsid w:val="003D22BC"/>
    <w:rsid w:val="0040649F"/>
    <w:rsid w:val="004A5B03"/>
    <w:rsid w:val="004C7C11"/>
    <w:rsid w:val="004E7659"/>
    <w:rsid w:val="004F7344"/>
    <w:rsid w:val="00525A4E"/>
    <w:rsid w:val="005B08C3"/>
    <w:rsid w:val="005B5D47"/>
    <w:rsid w:val="005C537C"/>
    <w:rsid w:val="005F022E"/>
    <w:rsid w:val="005F60F9"/>
    <w:rsid w:val="00612DDE"/>
    <w:rsid w:val="00617713"/>
    <w:rsid w:val="006666A6"/>
    <w:rsid w:val="006A68C7"/>
    <w:rsid w:val="006B63EF"/>
    <w:rsid w:val="006C66A2"/>
    <w:rsid w:val="006D3066"/>
    <w:rsid w:val="00727BD0"/>
    <w:rsid w:val="00747892"/>
    <w:rsid w:val="00755BA4"/>
    <w:rsid w:val="007C1802"/>
    <w:rsid w:val="007C2775"/>
    <w:rsid w:val="008D10CA"/>
    <w:rsid w:val="008E25BB"/>
    <w:rsid w:val="008F2CC9"/>
    <w:rsid w:val="008F6C1E"/>
    <w:rsid w:val="009524F7"/>
    <w:rsid w:val="0098012F"/>
    <w:rsid w:val="009C7AD6"/>
    <w:rsid w:val="00A70CF5"/>
    <w:rsid w:val="00AD0CA5"/>
    <w:rsid w:val="00B1157C"/>
    <w:rsid w:val="00B512EE"/>
    <w:rsid w:val="00B673BF"/>
    <w:rsid w:val="00B84568"/>
    <w:rsid w:val="00BA1D4E"/>
    <w:rsid w:val="00BF40C4"/>
    <w:rsid w:val="00C019FB"/>
    <w:rsid w:val="00C319F1"/>
    <w:rsid w:val="00C52607"/>
    <w:rsid w:val="00C52AEC"/>
    <w:rsid w:val="00C5546B"/>
    <w:rsid w:val="00C676D5"/>
    <w:rsid w:val="00C93DB5"/>
    <w:rsid w:val="00CE1879"/>
    <w:rsid w:val="00CE64F9"/>
    <w:rsid w:val="00D045C5"/>
    <w:rsid w:val="00D23DAC"/>
    <w:rsid w:val="00DA00BA"/>
    <w:rsid w:val="00DB5046"/>
    <w:rsid w:val="00DB5ABB"/>
    <w:rsid w:val="00E26C86"/>
    <w:rsid w:val="00E60CF6"/>
    <w:rsid w:val="00E8775E"/>
    <w:rsid w:val="00EB022E"/>
    <w:rsid w:val="00EB04B2"/>
    <w:rsid w:val="00F1233E"/>
    <w:rsid w:val="00F94360"/>
    <w:rsid w:val="00FB1634"/>
    <w:rsid w:val="00FE3CAF"/>
    <w:rsid w:val="0AE01B63"/>
    <w:rsid w:val="10E852CE"/>
    <w:rsid w:val="11333AD8"/>
    <w:rsid w:val="223D0F38"/>
    <w:rsid w:val="453B3336"/>
    <w:rsid w:val="526E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6C66A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1"/>
    <w:autoRedefine/>
    <w:unhideWhenUsed/>
    <w:qFormat/>
    <w:rsid w:val="006C66A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6C66A2"/>
    <w:pPr>
      <w:keepNext/>
      <w:keepLines/>
      <w:spacing w:line="416" w:lineRule="auto"/>
      <w:jc w:val="center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rsid w:val="006C6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6A2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6A2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6C66A2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6C66A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6C66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1">
    <w:name w:val="标题 1 Char1"/>
    <w:link w:val="1"/>
    <w:autoRedefine/>
    <w:qFormat/>
    <w:rsid w:val="006C66A2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link w:val="2"/>
    <w:autoRedefine/>
    <w:qFormat/>
    <w:rsid w:val="006C66A2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C319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19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4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58</cp:revision>
  <dcterms:created xsi:type="dcterms:W3CDTF">2021-04-14T06:46:00Z</dcterms:created>
  <dcterms:modified xsi:type="dcterms:W3CDTF">2024-08-28T09:20:00Z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6AEC2ACB284C4D3D9790EC58CB1DE57A_13</vt:lpwstr>
  </property>
</Properties>
</file>