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B7" w:rsidRDefault="00FB1EB7"/>
    <w:p w:rsidR="00FB1EB7" w:rsidRDefault="0064327D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基础支撑系统运维服务要求</w:t>
      </w:r>
    </w:p>
    <w:p w:rsidR="00FB1EB7" w:rsidRDefault="0064327D" w:rsidP="008F4E0E">
      <w:pPr>
        <w:spacing w:beforeLines="50" w:afterLines="50" w:line="360" w:lineRule="auto"/>
        <w:outlineLvl w:val="0"/>
        <w:rPr>
          <w:rFonts w:ascii="华文细黑" w:eastAsia="华文细黑" w:hAnsi="华文细黑"/>
          <w:b/>
          <w:sz w:val="24"/>
          <w:szCs w:val="24"/>
        </w:rPr>
      </w:pPr>
      <w:r>
        <w:rPr>
          <w:rFonts w:ascii="华文细黑" w:eastAsia="华文细黑" w:hAnsi="华文细黑" w:hint="eastAsia"/>
          <w:b/>
          <w:sz w:val="24"/>
          <w:szCs w:val="24"/>
        </w:rPr>
        <w:t>一、项目背景</w:t>
      </w:r>
    </w:p>
    <w:p w:rsidR="00FB1EB7" w:rsidRDefault="0064327D" w:rsidP="008F4E0E">
      <w:pPr>
        <w:autoSpaceDE w:val="0"/>
        <w:autoSpaceDN w:val="0"/>
        <w:adjustRightInd w:val="0"/>
        <w:spacing w:beforeLines="50" w:afterLines="50"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lang w:val="zh-CN"/>
        </w:rPr>
        <w:t>医院目前使用的</w:t>
      </w:r>
      <w:r>
        <w:rPr>
          <w:rFonts w:ascii="宋体" w:hAnsi="宋体" w:hint="eastAsia"/>
          <w:szCs w:val="21"/>
        </w:rPr>
        <w:t>基础支撑平台始建于2016年5月，同年11月中旬上线。平台承载HIS、集成平台（部分）、EMR、PACS、</w:t>
      </w:r>
      <w:r>
        <w:rPr>
          <w:rFonts w:ascii="宋体" w:hAnsi="宋体"/>
          <w:szCs w:val="21"/>
        </w:rPr>
        <w:t>LIS</w:t>
      </w:r>
      <w:r>
        <w:rPr>
          <w:rFonts w:ascii="宋体" w:hAnsi="宋体" w:hint="eastAsia"/>
          <w:szCs w:val="21"/>
        </w:rPr>
        <w:t>等业务系统。随着医院信息化项目的实施和建设，需要确保基础支撑平台的安全、稳定的运行。</w:t>
      </w:r>
    </w:p>
    <w:p w:rsidR="00FB1EB7" w:rsidRDefault="0064327D" w:rsidP="008F4E0E">
      <w:pPr>
        <w:spacing w:beforeLines="50" w:afterLines="50" w:line="360" w:lineRule="auto"/>
        <w:outlineLvl w:val="0"/>
        <w:rPr>
          <w:rFonts w:ascii="华文细黑" w:eastAsia="华文细黑" w:hAnsi="华文细黑"/>
          <w:b/>
          <w:sz w:val="24"/>
          <w:szCs w:val="24"/>
        </w:rPr>
      </w:pPr>
      <w:r>
        <w:rPr>
          <w:rFonts w:ascii="华文细黑" w:eastAsia="华文细黑" w:hAnsi="华文细黑" w:hint="eastAsia"/>
          <w:b/>
          <w:sz w:val="24"/>
          <w:szCs w:val="24"/>
        </w:rPr>
        <w:t>二、项目需求说明</w:t>
      </w:r>
    </w:p>
    <w:p w:rsidR="00FB1EB7" w:rsidRDefault="0064327D">
      <w:pPr>
        <w:autoSpaceDE w:val="0"/>
        <w:autoSpaceDN w:val="0"/>
        <w:adjustRightInd w:val="0"/>
        <w:spacing w:line="360" w:lineRule="auto"/>
        <w:ind w:firstLine="420"/>
        <w:outlineLvl w:val="1"/>
        <w:rPr>
          <w:rFonts w:asciiTheme="minorEastAsia" w:eastAsiaTheme="minorEastAsia" w:hAnsiTheme="minorEastAsia" w:cs="宋体"/>
          <w:kern w:val="28"/>
          <w:szCs w:val="21"/>
        </w:rPr>
      </w:pPr>
      <w:r>
        <w:rPr>
          <w:rFonts w:ascii="华文细黑" w:eastAsia="华文细黑" w:hAnsi="华文细黑" w:hint="eastAsia"/>
          <w:b/>
          <w:color w:val="000000"/>
          <w:szCs w:val="21"/>
        </w:rPr>
        <w:t>2.1、采购预算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"/>
        <w:gridCol w:w="1676"/>
        <w:gridCol w:w="2551"/>
        <w:gridCol w:w="1701"/>
        <w:gridCol w:w="876"/>
        <w:gridCol w:w="959"/>
      </w:tblGrid>
      <w:tr w:rsidR="00FB1EB7">
        <w:trPr>
          <w:trHeight w:val="300"/>
          <w:jc w:val="center"/>
        </w:trPr>
        <w:tc>
          <w:tcPr>
            <w:tcW w:w="876" w:type="dxa"/>
            <w:vAlign w:val="center"/>
          </w:tcPr>
          <w:p w:rsidR="00FB1EB7" w:rsidRDefault="0064327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序号</w:t>
            </w:r>
          </w:p>
        </w:tc>
        <w:tc>
          <w:tcPr>
            <w:tcW w:w="1676" w:type="dxa"/>
            <w:vAlign w:val="center"/>
          </w:tcPr>
          <w:p w:rsidR="00FB1EB7" w:rsidRDefault="0064327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采购类别</w:t>
            </w:r>
          </w:p>
        </w:tc>
        <w:tc>
          <w:tcPr>
            <w:tcW w:w="2551" w:type="dxa"/>
            <w:vAlign w:val="center"/>
          </w:tcPr>
          <w:p w:rsidR="00FB1EB7" w:rsidRDefault="0064327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内容概述</w:t>
            </w:r>
          </w:p>
        </w:tc>
        <w:tc>
          <w:tcPr>
            <w:tcW w:w="1701" w:type="dxa"/>
            <w:vAlign w:val="center"/>
          </w:tcPr>
          <w:p w:rsidR="00FB1EB7" w:rsidRDefault="0064327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采购预算</w:t>
            </w:r>
          </w:p>
        </w:tc>
        <w:tc>
          <w:tcPr>
            <w:tcW w:w="876" w:type="dxa"/>
            <w:vAlign w:val="center"/>
          </w:tcPr>
          <w:p w:rsidR="00FB1EB7" w:rsidRDefault="0064327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数量</w:t>
            </w:r>
          </w:p>
        </w:tc>
        <w:tc>
          <w:tcPr>
            <w:tcW w:w="959" w:type="dxa"/>
            <w:vAlign w:val="center"/>
          </w:tcPr>
          <w:p w:rsidR="00FB1EB7" w:rsidRDefault="0064327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单位</w:t>
            </w:r>
          </w:p>
        </w:tc>
      </w:tr>
      <w:tr w:rsidR="00FB1EB7">
        <w:trPr>
          <w:trHeight w:val="300"/>
          <w:jc w:val="center"/>
        </w:trPr>
        <w:tc>
          <w:tcPr>
            <w:tcW w:w="876" w:type="dxa"/>
            <w:vAlign w:val="center"/>
          </w:tcPr>
          <w:p w:rsidR="00FB1EB7" w:rsidRDefault="0064327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</w:t>
            </w:r>
          </w:p>
        </w:tc>
        <w:tc>
          <w:tcPr>
            <w:tcW w:w="1676" w:type="dxa"/>
            <w:vAlign w:val="center"/>
          </w:tcPr>
          <w:p w:rsidR="00FB1EB7" w:rsidRDefault="0064327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28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28"/>
                <w:szCs w:val="21"/>
              </w:rPr>
              <w:t>基础支撑系统运维服务</w:t>
            </w:r>
          </w:p>
        </w:tc>
        <w:tc>
          <w:tcPr>
            <w:tcW w:w="2551" w:type="dxa"/>
            <w:vAlign w:val="center"/>
          </w:tcPr>
          <w:p w:rsidR="00FB1EB7" w:rsidRDefault="0064327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28"/>
                <w:szCs w:val="21"/>
              </w:rPr>
              <w:t>提供现场保障服务；提供运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28"/>
                <w:szCs w:val="21"/>
              </w:rPr>
              <w:t>维保障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28"/>
                <w:szCs w:val="21"/>
              </w:rPr>
              <w:t>支撑等服务。</w:t>
            </w:r>
          </w:p>
        </w:tc>
        <w:tc>
          <w:tcPr>
            <w:tcW w:w="1701" w:type="dxa"/>
            <w:vAlign w:val="center"/>
          </w:tcPr>
          <w:p w:rsidR="00FB1EB7" w:rsidRDefault="0064327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15万/年</w:t>
            </w:r>
          </w:p>
        </w:tc>
        <w:tc>
          <w:tcPr>
            <w:tcW w:w="876" w:type="dxa"/>
            <w:vAlign w:val="center"/>
          </w:tcPr>
          <w:p w:rsidR="00FB1EB7" w:rsidRDefault="0064327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959" w:type="dxa"/>
            <w:vAlign w:val="center"/>
          </w:tcPr>
          <w:p w:rsidR="00FB1EB7" w:rsidRDefault="0064327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项</w:t>
            </w:r>
          </w:p>
        </w:tc>
      </w:tr>
    </w:tbl>
    <w:p w:rsidR="00FB1EB7" w:rsidRDefault="0064327D">
      <w:pPr>
        <w:autoSpaceDE w:val="0"/>
        <w:autoSpaceDN w:val="0"/>
        <w:adjustRightInd w:val="0"/>
        <w:spacing w:line="360" w:lineRule="auto"/>
        <w:ind w:firstLine="420"/>
        <w:outlineLvl w:val="1"/>
        <w:rPr>
          <w:rFonts w:ascii="华文细黑" w:eastAsia="华文细黑" w:hAnsi="华文细黑"/>
          <w:b/>
          <w:color w:val="000000"/>
          <w:szCs w:val="21"/>
        </w:rPr>
      </w:pPr>
      <w:r>
        <w:rPr>
          <w:rFonts w:ascii="华文细黑" w:eastAsia="华文细黑" w:hAnsi="华文细黑" w:hint="eastAsia"/>
          <w:b/>
          <w:color w:val="000000"/>
          <w:szCs w:val="21"/>
        </w:rPr>
        <w:t>2.2、本项目服务期限</w:t>
      </w:r>
    </w:p>
    <w:p w:rsidR="00FB1EB7" w:rsidRDefault="0064327D" w:rsidP="008F4E0E">
      <w:pPr>
        <w:pStyle w:val="ad"/>
        <w:spacing w:beforeLines="50" w:afterLines="50" w:line="360" w:lineRule="auto"/>
        <w:ind w:left="397" w:firstLineChars="0" w:firstLine="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维保服务时间为</w:t>
      </w:r>
      <w:r>
        <w:rPr>
          <w:rFonts w:asciiTheme="minorEastAsia" w:eastAsiaTheme="minorEastAsia" w:hAnsiTheme="minorEastAsia" w:cs="宋体"/>
          <w:kern w:val="0"/>
          <w:szCs w:val="21"/>
        </w:rPr>
        <w:t>3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年，合同一年一签。</w:t>
      </w:r>
    </w:p>
    <w:p w:rsidR="00FB1EB7" w:rsidRDefault="0064327D">
      <w:pPr>
        <w:autoSpaceDE w:val="0"/>
        <w:autoSpaceDN w:val="0"/>
        <w:adjustRightInd w:val="0"/>
        <w:spacing w:line="360" w:lineRule="auto"/>
        <w:ind w:firstLine="420"/>
        <w:outlineLvl w:val="1"/>
        <w:rPr>
          <w:rFonts w:ascii="华文细黑" w:eastAsia="华文细黑" w:hAnsi="华文细黑"/>
          <w:b/>
          <w:color w:val="000000"/>
          <w:szCs w:val="21"/>
        </w:rPr>
      </w:pPr>
      <w:r>
        <w:rPr>
          <w:rFonts w:ascii="华文细黑" w:eastAsia="华文细黑" w:hAnsi="华文细黑" w:hint="eastAsia"/>
          <w:b/>
          <w:color w:val="000000"/>
          <w:szCs w:val="21"/>
        </w:rPr>
        <w:t>2.3、服务等级</w:t>
      </w:r>
    </w:p>
    <w:p w:rsidR="00FB1EB7" w:rsidRDefault="0064327D" w:rsidP="008F4E0E">
      <w:pPr>
        <w:spacing w:beforeLines="50" w:afterLines="50" w:line="360" w:lineRule="auto"/>
        <w:ind w:leftChars="200" w:left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一年*7*24（365天全天候服务），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kern w:val="0"/>
          <w:szCs w:val="21"/>
        </w:rPr>
        <w:t>免人工免材料现场服务。</w:t>
      </w:r>
    </w:p>
    <w:p w:rsidR="00FB1EB7" w:rsidRDefault="0064327D">
      <w:pPr>
        <w:pStyle w:val="a0"/>
        <w:ind w:firstLine="420"/>
        <w:rPr>
          <w:rFonts w:ascii="华文细黑" w:eastAsia="华文细黑" w:hAnsi="华文细黑"/>
          <w:b/>
          <w:color w:val="000000"/>
          <w:szCs w:val="21"/>
        </w:rPr>
      </w:pPr>
      <w:r>
        <w:rPr>
          <w:rFonts w:ascii="华文细黑" w:eastAsia="华文细黑" w:hAnsi="华文细黑" w:hint="eastAsia"/>
          <w:b/>
          <w:color w:val="000000"/>
          <w:szCs w:val="21"/>
        </w:rPr>
        <w:t>2.4 服务范围</w:t>
      </w:r>
    </w:p>
    <w:p w:rsidR="00FB1EB7" w:rsidRDefault="0064327D">
      <w:pPr>
        <w:pStyle w:val="a0"/>
        <w:ind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医院信息相关所有服务器、存储、交换机等设备。</w:t>
      </w:r>
    </w:p>
    <w:p w:rsidR="00FB1EB7" w:rsidRDefault="00FB1EB7">
      <w:pPr>
        <w:pStyle w:val="a0"/>
        <w:ind w:firstLine="420"/>
        <w:rPr>
          <w:rFonts w:asciiTheme="minorEastAsia" w:eastAsiaTheme="minorEastAsia" w:hAnsiTheme="minorEastAsia" w:cs="宋体"/>
          <w:kern w:val="0"/>
          <w:szCs w:val="21"/>
        </w:rPr>
      </w:pPr>
    </w:p>
    <w:p w:rsidR="00FB1EB7" w:rsidRDefault="0064327D" w:rsidP="008F4E0E">
      <w:pPr>
        <w:spacing w:beforeLines="50" w:afterLines="50" w:line="360" w:lineRule="auto"/>
        <w:outlineLvl w:val="0"/>
        <w:rPr>
          <w:rFonts w:ascii="华文细黑" w:eastAsia="华文细黑" w:hAnsi="华文细黑"/>
          <w:b/>
          <w:sz w:val="24"/>
          <w:szCs w:val="24"/>
        </w:rPr>
      </w:pPr>
      <w:r>
        <w:rPr>
          <w:rFonts w:ascii="华文细黑" w:eastAsia="华文细黑" w:hAnsi="华文细黑" w:hint="eastAsia"/>
          <w:b/>
          <w:sz w:val="24"/>
          <w:szCs w:val="24"/>
        </w:rPr>
        <w:t>三、项目详细采购要求</w:t>
      </w:r>
    </w:p>
    <w:p w:rsidR="00FB1EB7" w:rsidRDefault="0064327D" w:rsidP="008F4E0E">
      <w:pPr>
        <w:pStyle w:val="ae"/>
        <w:spacing w:beforeLines="50" w:afterLines="50"/>
        <w:ind w:left="0" w:firstLine="420"/>
        <w:outlineLvl w:val="3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3.1、故障排除及响应时间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在医院规定的时限内排除故障恢复系统运行，包括故障定位、部件更换、数据恢复的全部工作；根据故障处理、现场巡检所发现的问题，或医院所提出的要求，对系统进行配置或参数调整。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设备重大故障（业务停顿或丢失）要求10分钟内响应，30分钟内到达现场，1小时排除故障；其他一般性技术故障（发现问题，但业务仍可正常运行）要求30分钟内响应，2小时内到达现场，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lastRenderedPageBreak/>
        <w:t>4小时排除故障。</w:t>
      </w:r>
    </w:p>
    <w:p w:rsidR="00FB1EB7" w:rsidRDefault="00FB1EB7">
      <w:pPr>
        <w:pStyle w:val="a0"/>
      </w:pPr>
    </w:p>
    <w:p w:rsidR="00FB1EB7" w:rsidRDefault="0064327D" w:rsidP="008F4E0E">
      <w:pPr>
        <w:pStyle w:val="ae"/>
        <w:spacing w:beforeLines="50" w:afterLines="50"/>
        <w:ind w:left="0" w:firstLine="420"/>
        <w:outlineLvl w:val="3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3.2、巡检要求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自合同签订后的维保周期内的每月巡检一次。定期对设备进行例行检查，检查设备的运行状况，查看系统日志；并根据检查结果提供建议，必要时进行预防性维修，并提交服务报告。</w:t>
      </w:r>
    </w:p>
    <w:p w:rsidR="00FB1EB7" w:rsidRDefault="0064327D" w:rsidP="008F4E0E">
      <w:pPr>
        <w:pStyle w:val="ae"/>
        <w:spacing w:beforeLines="50" w:afterLines="50"/>
        <w:ind w:left="0" w:firstLine="420"/>
        <w:outlineLvl w:val="3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3.3、升级更新支持要求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为了保证业务系统和维保设备的稳定性，投标单位协调厂商帮助医院建立一套设备升级管理策略。确保维保设备的系统版本、代码库等经过检查分析，由投标单位协调厂商安排相应工程师在第一时间更新到最新稳定版，并同时控制更新的次数，从而降低对系统可用性、稳定性的影响。升级更新事项均由投标单位进行统一统筹、协调、落实。</w:t>
      </w:r>
    </w:p>
    <w:p w:rsidR="00FB1EB7" w:rsidRDefault="0064327D" w:rsidP="008F4E0E">
      <w:pPr>
        <w:pStyle w:val="ae"/>
        <w:spacing w:beforeLines="50" w:afterLines="50"/>
        <w:ind w:left="0" w:firstLine="420"/>
        <w:outlineLvl w:val="3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3.4、</w:t>
      </w:r>
      <w:proofErr w:type="gramStart"/>
      <w:r>
        <w:rPr>
          <w:rFonts w:ascii="华文细黑" w:eastAsia="华文细黑" w:hAnsi="华文细黑" w:hint="eastAsia"/>
          <w:b/>
          <w:sz w:val="21"/>
          <w:szCs w:val="21"/>
        </w:rPr>
        <w:t>重保事件</w:t>
      </w:r>
      <w:proofErr w:type="gramEnd"/>
      <w:r>
        <w:rPr>
          <w:rFonts w:ascii="华文细黑" w:eastAsia="华文细黑" w:hAnsi="华文细黑" w:hint="eastAsia"/>
          <w:b/>
          <w:sz w:val="21"/>
          <w:szCs w:val="21"/>
        </w:rPr>
        <w:t>现场支持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如遇重大技术问题、活动保障及节假日等，投标单位须提供关键（驻场人员除外）技术人员现场保障服务，确保医院在遇到故障时能够以最快的速度解决。</w:t>
      </w:r>
    </w:p>
    <w:p w:rsidR="00FB1EB7" w:rsidRDefault="0064327D" w:rsidP="008F4E0E">
      <w:pPr>
        <w:pStyle w:val="ae"/>
        <w:spacing w:beforeLines="50" w:afterLines="50"/>
        <w:ind w:left="0" w:firstLine="420"/>
        <w:outlineLvl w:val="3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3.</w:t>
      </w:r>
      <w:r>
        <w:rPr>
          <w:rFonts w:ascii="华文细黑" w:eastAsia="华文细黑" w:hAnsi="华文细黑" w:hint="eastAsia"/>
          <w:b/>
          <w:sz w:val="21"/>
          <w:szCs w:val="21"/>
          <w:lang w:val="en-US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、系统性能优化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医院系统在持续运行过程中，复杂的运行环境等种种原因会造成系统性能的逐渐下降。通过定期的技术检查，可及时排除故障隐患，以免问题发生后影响业务运作，还能及时调优系统性能，使系统始终处于高效率运行状态。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在服务期间向医院提供设备的配置管理，同时可以帮助医院在可用性、性能和安全性等方面不断进行完善，减少风险。在服务期结束时向医院提供服务范围内设备的详细配置、运行状态、拓扑等文档，并帮助医院对设备配置信息进行清理和优化。</w:t>
      </w:r>
    </w:p>
    <w:p w:rsidR="00FB1EB7" w:rsidRDefault="0064327D" w:rsidP="008F4E0E">
      <w:pPr>
        <w:pStyle w:val="ae"/>
        <w:spacing w:beforeLines="50" w:afterLines="50"/>
        <w:ind w:left="0" w:firstLine="420"/>
        <w:outlineLvl w:val="3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3.</w:t>
      </w:r>
      <w:r>
        <w:rPr>
          <w:rFonts w:ascii="华文细黑" w:eastAsia="华文细黑" w:hAnsi="华文细黑" w:hint="eastAsia"/>
          <w:b/>
          <w:sz w:val="21"/>
          <w:szCs w:val="21"/>
          <w:lang w:val="en-US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、业务连续性及数据安全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保障医院业务连续性，包括但不限于：计划内停机、容灾演练、系统切换、数据库策略等；保障医院数据安全，包括但不限于：数据备份、数据迁移、数据验证等，服务商有责任在保障不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lastRenderedPageBreak/>
        <w:t>同状态</w:t>
      </w:r>
      <w:proofErr w:type="gramStart"/>
      <w:r>
        <w:rPr>
          <w:rFonts w:asciiTheme="minorEastAsia" w:eastAsiaTheme="minorEastAsia" w:hAnsiTheme="minorEastAsia" w:cs="宋体" w:hint="eastAsia"/>
          <w:kern w:val="0"/>
          <w:szCs w:val="21"/>
        </w:rPr>
        <w:t>下数据</w:t>
      </w:r>
      <w:proofErr w:type="gramEnd"/>
      <w:r>
        <w:rPr>
          <w:rFonts w:asciiTheme="minorEastAsia" w:eastAsiaTheme="minorEastAsia" w:hAnsiTheme="minorEastAsia" w:cs="宋体" w:hint="eastAsia"/>
          <w:kern w:val="0"/>
          <w:szCs w:val="21"/>
        </w:rPr>
        <w:t>的完整性及可用性。</w:t>
      </w:r>
    </w:p>
    <w:p w:rsidR="00FB1EB7" w:rsidRDefault="0064327D">
      <w:pPr>
        <w:autoSpaceDE w:val="0"/>
        <w:autoSpaceDN w:val="0"/>
        <w:adjustRightInd w:val="0"/>
        <w:spacing w:line="360" w:lineRule="auto"/>
        <w:ind w:firstLine="420"/>
        <w:outlineLvl w:val="1"/>
        <w:rPr>
          <w:rFonts w:ascii="华文细黑" w:eastAsia="华文细黑" w:hAnsi="华文细黑"/>
          <w:b/>
          <w:color w:val="000000"/>
          <w:szCs w:val="21"/>
        </w:rPr>
      </w:pPr>
      <w:r>
        <w:rPr>
          <w:rFonts w:ascii="华文细黑" w:eastAsia="华文细黑" w:hAnsi="华文细黑" w:hint="eastAsia"/>
          <w:b/>
          <w:color w:val="000000"/>
          <w:szCs w:val="21"/>
        </w:rPr>
        <w:t>3.7、服务人员要求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投标单位须提供服务团队人员名单（3人以上）并指定1名项目经理，该员具有信息系统集成高级项目经理资质（或类似），项目经理负责医院7*24服务申请且无推诿响应，并具有类似案例维护服务的经验及能力，以便及时处理、协调系统中存在的安全风险问题。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本项目需提供2名技术工程师（AB岗）的现场技术支持保障服务，并需经过医院单位考核认可，要求如下：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 xml:space="preserve">（1）熟悉医院的业务流程及信息运行体系，具备良好沟通协调能力，有3年以上同类工作经验，并具有服务器、存储、网络设备维护经验及能力，以便及时处理服务器、存储、网络设备等硬件设备存在的安全风险问题。运维驻场人员要求思路清晰、言语礼貌、富有耐心、责任心强。 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（2）为确保现场服务人员的技术服务和故障排查能力，服务人员应具有网络工程师资质、oracle</w:t>
      </w:r>
      <w:r>
        <w:rPr>
          <w:rFonts w:asciiTheme="minorEastAsia" w:eastAsiaTheme="minorEastAsia" w:hAnsiTheme="minorEastAsia" w:cs="宋体"/>
          <w:kern w:val="0"/>
          <w:szCs w:val="21"/>
        </w:rPr>
        <w:t xml:space="preserve"> OCM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认证、CISP/CISAW认证资质，投标时须提供相关证书复印件，原件备查。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（3）现场服务人员工作包括但不限于：相关设备的运行情况、设备故障处理、日志收集分析、安全通报；以及与维保对象业务相关的其他工作。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（4）医院一旦接受服务商提供的服务人员，服务期间不得随意更换，如有特殊情况，需要征得医院同意。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（5）</w:t>
      </w:r>
      <w:r w:rsidRPr="00421A78">
        <w:rPr>
          <w:rFonts w:asciiTheme="minorEastAsia" w:eastAsiaTheme="minorEastAsia" w:hAnsiTheme="minorEastAsia" w:cs="宋体" w:hint="eastAsia"/>
          <w:kern w:val="0"/>
          <w:szCs w:val="21"/>
        </w:rPr>
        <w:t>现场服务人员必须</w:t>
      </w:r>
      <w:r w:rsidR="00ED414C" w:rsidRPr="00421A78">
        <w:rPr>
          <w:rFonts w:asciiTheme="minorEastAsia" w:eastAsiaTheme="minorEastAsia" w:hAnsiTheme="minorEastAsia" w:cs="宋体" w:hint="eastAsia"/>
          <w:kern w:val="0"/>
          <w:szCs w:val="21"/>
        </w:rPr>
        <w:t>提供近三个月（不含当月）</w:t>
      </w:r>
      <w:r w:rsidRPr="00421A78">
        <w:rPr>
          <w:rFonts w:asciiTheme="minorEastAsia" w:eastAsiaTheme="minorEastAsia" w:hAnsiTheme="minorEastAsia" w:cs="宋体" w:hint="eastAsia"/>
          <w:kern w:val="0"/>
          <w:szCs w:val="21"/>
        </w:rPr>
        <w:t>的</w:t>
      </w:r>
      <w:r w:rsidR="00ED414C" w:rsidRPr="00421A78">
        <w:rPr>
          <w:rFonts w:asciiTheme="minorEastAsia" w:eastAsiaTheme="minorEastAsia" w:hAnsiTheme="minorEastAsia" w:cs="宋体" w:hint="eastAsia"/>
          <w:kern w:val="0"/>
          <w:szCs w:val="21"/>
        </w:rPr>
        <w:t>单位</w:t>
      </w:r>
      <w:proofErr w:type="gramStart"/>
      <w:r w:rsidRPr="00421A78">
        <w:rPr>
          <w:rFonts w:asciiTheme="minorEastAsia" w:eastAsiaTheme="minorEastAsia" w:hAnsiTheme="minorEastAsia" w:cs="宋体" w:hint="eastAsia"/>
          <w:kern w:val="0"/>
          <w:szCs w:val="21"/>
        </w:rPr>
        <w:t>社保证明</w:t>
      </w:r>
      <w:proofErr w:type="gramEnd"/>
      <w:r w:rsidRPr="00421A78">
        <w:rPr>
          <w:rFonts w:asciiTheme="minorEastAsia" w:eastAsiaTheme="minorEastAsia" w:hAnsiTheme="minorEastAsia" w:cs="宋体" w:hint="eastAsia"/>
          <w:kern w:val="0"/>
          <w:szCs w:val="21"/>
        </w:rPr>
        <w:t>，投标时提交相关证明材料。</w:t>
      </w:r>
    </w:p>
    <w:p w:rsidR="00FB1EB7" w:rsidRDefault="0064327D">
      <w:pPr>
        <w:spacing w:line="560" w:lineRule="exact"/>
        <w:ind w:firstLineChars="200" w:firstLine="420"/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二线人员在医院</w:t>
      </w:r>
      <w:proofErr w:type="gramStart"/>
      <w:r>
        <w:rPr>
          <w:rFonts w:asciiTheme="minorEastAsia" w:eastAsiaTheme="minorEastAsia" w:hAnsiTheme="minorEastAsia" w:cs="宋体" w:hint="eastAsia"/>
          <w:kern w:val="0"/>
          <w:szCs w:val="21"/>
        </w:rPr>
        <w:t>方现场</w:t>
      </w:r>
      <w:proofErr w:type="gramEnd"/>
      <w:r>
        <w:rPr>
          <w:rFonts w:asciiTheme="minorEastAsia" w:eastAsiaTheme="minorEastAsia" w:hAnsiTheme="minorEastAsia" w:cs="宋体" w:hint="eastAsia"/>
          <w:kern w:val="0"/>
          <w:szCs w:val="21"/>
        </w:rPr>
        <w:t>或在异地通过远程接入的方式进行协助配合工作，进行硬件设备、系统的安装调试配置配合、系统运行监控和维护、故障分析排除、定期系统检测、系统软件升级、系统数据备份和转储、以及必要的停机维护保养等；同时当有新硬件设备需要接入系统时，维保单位应积极配合、协助，提供相应的服务，确保项目的正常顺利实施。</w:t>
      </w:r>
    </w:p>
    <w:p w:rsidR="00FB1EB7" w:rsidRDefault="0064327D" w:rsidP="008F4E0E">
      <w:pPr>
        <w:spacing w:beforeLines="50" w:afterLines="50" w:line="360" w:lineRule="auto"/>
        <w:outlineLvl w:val="0"/>
        <w:rPr>
          <w:rFonts w:ascii="黑体" w:eastAsia="黑体" w:hAnsi="黑体"/>
          <w:szCs w:val="32"/>
        </w:rPr>
      </w:pPr>
      <w:r>
        <w:rPr>
          <w:rFonts w:ascii="华文细黑" w:eastAsia="华文细黑" w:hAnsi="华文细黑" w:hint="eastAsia"/>
          <w:b/>
          <w:sz w:val="24"/>
          <w:szCs w:val="24"/>
        </w:rPr>
        <w:t>四、服务质量要求</w:t>
      </w:r>
    </w:p>
    <w:p w:rsidR="00FB1EB7" w:rsidRDefault="0064327D">
      <w:pPr>
        <w:autoSpaceDE w:val="0"/>
        <w:autoSpaceDN w:val="0"/>
        <w:adjustRightInd w:val="0"/>
        <w:spacing w:line="360" w:lineRule="auto"/>
        <w:ind w:firstLine="420"/>
        <w:outlineLvl w:val="1"/>
        <w:rPr>
          <w:rFonts w:ascii="华文细黑" w:eastAsia="华文细黑" w:hAnsi="华文细黑"/>
          <w:b/>
          <w:color w:val="000000"/>
          <w:szCs w:val="21"/>
        </w:rPr>
      </w:pPr>
      <w:r>
        <w:rPr>
          <w:rFonts w:ascii="华文细黑" w:eastAsia="华文细黑" w:hAnsi="华文细黑" w:hint="eastAsia"/>
          <w:b/>
          <w:color w:val="000000"/>
          <w:szCs w:val="21"/>
        </w:rPr>
        <w:t>4.1、服务报告</w:t>
      </w:r>
    </w:p>
    <w:p w:rsidR="00FB1EB7" w:rsidRDefault="0064327D">
      <w:pPr>
        <w:pStyle w:val="ad"/>
        <w:numPr>
          <w:ilvl w:val="0"/>
          <w:numId w:val="2"/>
        </w:numPr>
        <w:spacing w:line="560" w:lineRule="exact"/>
        <w:ind w:firstLineChars="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lastRenderedPageBreak/>
        <w:t>每月提供运</w:t>
      </w:r>
      <w:proofErr w:type="gramStart"/>
      <w:r>
        <w:rPr>
          <w:rFonts w:asciiTheme="minorEastAsia" w:eastAsiaTheme="minorEastAsia" w:hAnsiTheme="minorEastAsia" w:cs="宋体" w:hint="eastAsia"/>
          <w:kern w:val="0"/>
          <w:szCs w:val="21"/>
        </w:rPr>
        <w:t>维情况</w:t>
      </w:r>
      <w:proofErr w:type="gramEnd"/>
      <w:r>
        <w:rPr>
          <w:rFonts w:asciiTheme="minorEastAsia" w:eastAsiaTheme="minorEastAsia" w:hAnsiTheme="minorEastAsia" w:cs="宋体" w:hint="eastAsia"/>
          <w:kern w:val="0"/>
          <w:szCs w:val="21"/>
        </w:rPr>
        <w:t>详细的书面报告，对设备的性能状态全面评估，设备性能情况、构成问题的事件分析，改进方案等客观分析设备运行过程中出现的各种状态波动、设备故障及问题。</w:t>
      </w:r>
    </w:p>
    <w:p w:rsidR="00FB1EB7" w:rsidRDefault="0064327D">
      <w:pPr>
        <w:pStyle w:val="ad"/>
        <w:numPr>
          <w:ilvl w:val="0"/>
          <w:numId w:val="2"/>
        </w:numPr>
        <w:spacing w:line="560" w:lineRule="exact"/>
        <w:ind w:firstLineChars="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每半年提供运</w:t>
      </w:r>
      <w:proofErr w:type="gramStart"/>
      <w:r>
        <w:rPr>
          <w:rFonts w:asciiTheme="minorEastAsia" w:eastAsiaTheme="minorEastAsia" w:hAnsiTheme="minorEastAsia" w:cs="宋体" w:hint="eastAsia"/>
          <w:kern w:val="0"/>
          <w:szCs w:val="21"/>
        </w:rPr>
        <w:t>维质量</w:t>
      </w:r>
      <w:proofErr w:type="gramEnd"/>
      <w:r>
        <w:rPr>
          <w:rFonts w:asciiTheme="minorEastAsia" w:eastAsiaTheme="minorEastAsia" w:hAnsiTheme="minorEastAsia" w:cs="宋体" w:hint="eastAsia"/>
          <w:kern w:val="0"/>
          <w:szCs w:val="21"/>
        </w:rPr>
        <w:t>分析报告：包括设备性能情况、构成问题的事件分析、改进方案等，对设备的性能状态全面评估，客观分析设备运行过程中出现的各种状态波动、设备故障及问题，为硬件设备配置优化建设提供决策依据。</w:t>
      </w:r>
    </w:p>
    <w:p w:rsidR="00FB1EB7" w:rsidRDefault="0064327D">
      <w:pPr>
        <w:pStyle w:val="ad"/>
        <w:numPr>
          <w:ilvl w:val="0"/>
          <w:numId w:val="2"/>
        </w:numPr>
        <w:spacing w:line="560" w:lineRule="exact"/>
        <w:ind w:firstLineChars="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年度设备运行工作情况总结：包括设备运行情况、故障处理情况、例行工作执行情况、下一步工作思路和工作建议等。</w:t>
      </w:r>
    </w:p>
    <w:p w:rsidR="00FB1EB7" w:rsidRDefault="0064327D">
      <w:pPr>
        <w:autoSpaceDE w:val="0"/>
        <w:autoSpaceDN w:val="0"/>
        <w:adjustRightInd w:val="0"/>
        <w:spacing w:line="360" w:lineRule="auto"/>
        <w:ind w:firstLine="420"/>
        <w:outlineLvl w:val="1"/>
        <w:rPr>
          <w:rFonts w:ascii="华文细黑" w:eastAsia="华文细黑" w:hAnsi="华文细黑"/>
          <w:b/>
          <w:color w:val="000000"/>
          <w:szCs w:val="21"/>
        </w:rPr>
      </w:pPr>
      <w:r>
        <w:rPr>
          <w:rFonts w:ascii="华文细黑" w:eastAsia="华文细黑" w:hAnsi="华文细黑" w:hint="eastAsia"/>
          <w:b/>
          <w:color w:val="000000"/>
          <w:szCs w:val="21"/>
        </w:rPr>
        <w:t>4.2、质量要求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 xml:space="preserve">通过对投标人的绩效评估，实现有依据的服务质量考核。对服务工作的响应、事件处理的能力、故障处理文档的规范性等进行评估。 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1）事件处理的方法和问题解决是否快速、准确；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2）事件处理完成后是否有完整的文档记录和规范归档操作；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3）事件处理后医院对服务的效果评价是否满意；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4）事件处理后是否对原有的系统或设备整体性能有提升；</w:t>
      </w:r>
    </w:p>
    <w:p w:rsidR="00FB1EB7" w:rsidRDefault="0064327D">
      <w:pPr>
        <w:spacing w:line="5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5）事件处理后是否有提出好的建议。</w:t>
      </w:r>
    </w:p>
    <w:p w:rsidR="00FB1EB7" w:rsidRDefault="0064327D" w:rsidP="008F4E0E">
      <w:pPr>
        <w:spacing w:beforeLines="50" w:afterLines="50" w:line="360" w:lineRule="auto"/>
        <w:outlineLvl w:val="0"/>
        <w:rPr>
          <w:rFonts w:ascii="华文细黑" w:eastAsia="华文细黑" w:hAnsi="华文细黑"/>
          <w:b/>
          <w:sz w:val="24"/>
          <w:szCs w:val="24"/>
        </w:rPr>
      </w:pPr>
      <w:r>
        <w:rPr>
          <w:rFonts w:ascii="华文细黑" w:eastAsia="华文细黑" w:hAnsi="华文细黑" w:hint="eastAsia"/>
          <w:b/>
          <w:sz w:val="24"/>
          <w:szCs w:val="24"/>
        </w:rPr>
        <w:t>五、</w:t>
      </w:r>
      <w:r>
        <w:rPr>
          <w:rFonts w:ascii="华文细黑" w:eastAsia="华文细黑" w:hAnsi="华文细黑"/>
          <w:b/>
          <w:sz w:val="24"/>
          <w:szCs w:val="24"/>
        </w:rPr>
        <w:t xml:space="preserve"> 支付方式</w:t>
      </w:r>
    </w:p>
    <w:p w:rsidR="00FB1EB7" w:rsidRDefault="0064327D" w:rsidP="008F4E0E">
      <w:pPr>
        <w:spacing w:beforeLines="50" w:afterLines="50" w:line="360" w:lineRule="auto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 w:rsidRPr="00421A78">
        <w:rPr>
          <w:rFonts w:asciiTheme="minorEastAsia" w:eastAsiaTheme="minorEastAsia" w:hAnsiTheme="minorEastAsia" w:cs="宋体" w:hint="eastAsia"/>
          <w:kern w:val="0"/>
          <w:szCs w:val="21"/>
        </w:rPr>
        <w:t>自合同</w:t>
      </w:r>
      <w:proofErr w:type="gramStart"/>
      <w:r w:rsidRPr="00421A78">
        <w:rPr>
          <w:rFonts w:asciiTheme="minorEastAsia" w:eastAsiaTheme="minorEastAsia" w:hAnsiTheme="minorEastAsia" w:cs="宋体" w:hint="eastAsia"/>
          <w:kern w:val="0"/>
          <w:szCs w:val="21"/>
        </w:rPr>
        <w:t>签定</w:t>
      </w:r>
      <w:proofErr w:type="gramEnd"/>
      <w:r w:rsidRPr="00421A78">
        <w:rPr>
          <w:rFonts w:asciiTheme="minorEastAsia" w:eastAsiaTheme="minorEastAsia" w:hAnsiTheme="minorEastAsia" w:cs="宋体" w:hint="eastAsia"/>
          <w:kern w:val="0"/>
          <w:szCs w:val="21"/>
        </w:rPr>
        <w:t>后三个</w:t>
      </w:r>
      <w:r w:rsidR="00ED414C" w:rsidRPr="00421A78">
        <w:rPr>
          <w:rFonts w:asciiTheme="minorEastAsia" w:eastAsiaTheme="minorEastAsia" w:hAnsiTheme="minorEastAsia" w:cs="宋体" w:hint="eastAsia"/>
          <w:kern w:val="0"/>
          <w:szCs w:val="21"/>
        </w:rPr>
        <w:t>月</w:t>
      </w:r>
      <w:r w:rsidRPr="00421A78">
        <w:rPr>
          <w:rFonts w:asciiTheme="minorEastAsia" w:eastAsiaTheme="minorEastAsia" w:hAnsiTheme="minorEastAsia" w:cs="宋体" w:hint="eastAsia"/>
          <w:kern w:val="0"/>
          <w:szCs w:val="21"/>
        </w:rPr>
        <w:t>内向中标单位支付合同总额的50%。余款在合同到期后且</w:t>
      </w:r>
      <w:r w:rsidRPr="00421A78">
        <w:rPr>
          <w:rFonts w:hint="eastAsia"/>
        </w:rPr>
        <w:t>年终考核合格后</w:t>
      </w:r>
      <w:r w:rsidRPr="00421A78">
        <w:rPr>
          <w:rFonts w:asciiTheme="minorEastAsia" w:eastAsiaTheme="minorEastAsia" w:hAnsiTheme="minorEastAsia" w:cs="宋体" w:hint="eastAsia"/>
          <w:kern w:val="0"/>
          <w:szCs w:val="21"/>
        </w:rPr>
        <w:t>支付。</w:t>
      </w:r>
    </w:p>
    <w:sectPr w:rsidR="00FB1EB7" w:rsidSect="00FB1EB7">
      <w:footerReference w:type="default" r:id="rId7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EB7" w:rsidRDefault="00FB1EB7" w:rsidP="00FB1EB7">
      <w:r>
        <w:separator/>
      </w:r>
    </w:p>
  </w:endnote>
  <w:endnote w:type="continuationSeparator" w:id="0">
    <w:p w:rsidR="00FB1EB7" w:rsidRDefault="00FB1EB7" w:rsidP="00FB1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EB7" w:rsidRDefault="008F4E0E">
    <w:pPr>
      <w:pStyle w:val="a7"/>
      <w:jc w:val="center"/>
    </w:pPr>
    <w:r>
      <w:rPr>
        <w:b/>
      </w:rPr>
      <w:fldChar w:fldCharType="begin"/>
    </w:r>
    <w:r w:rsidR="0064327D">
      <w:rPr>
        <w:b/>
      </w:rPr>
      <w:instrText>PAGE  \* Arabic  \* MERGEFORMAT</w:instrText>
    </w:r>
    <w:r>
      <w:rPr>
        <w:b/>
      </w:rPr>
      <w:fldChar w:fldCharType="separate"/>
    </w:r>
    <w:r w:rsidR="00421A78" w:rsidRPr="00421A78">
      <w:rPr>
        <w:b/>
        <w:noProof/>
        <w:lang w:val="zh-CN"/>
      </w:rPr>
      <w:t>4</w:t>
    </w:r>
    <w:r>
      <w:rPr>
        <w:b/>
      </w:rPr>
      <w:fldChar w:fldCharType="end"/>
    </w:r>
    <w:r w:rsidR="0064327D">
      <w:rPr>
        <w:lang w:val="zh-CN"/>
      </w:rPr>
      <w:t xml:space="preserve"> / </w:t>
    </w:r>
    <w:fldSimple w:instr="NUMPAGES  \* Arabic  \* MERGEFORMAT">
      <w:r w:rsidR="00421A78" w:rsidRPr="00421A78">
        <w:rPr>
          <w:b/>
          <w:noProof/>
          <w:lang w:val="zh-CN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EB7" w:rsidRDefault="00FB1EB7" w:rsidP="00FB1EB7">
      <w:r>
        <w:separator/>
      </w:r>
    </w:p>
  </w:footnote>
  <w:footnote w:type="continuationSeparator" w:id="0">
    <w:p w:rsidR="00FB1EB7" w:rsidRDefault="00FB1EB7" w:rsidP="00FB1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A2D"/>
    <w:multiLevelType w:val="multilevel"/>
    <w:tmpl w:val="076A2A2D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B390123"/>
    <w:multiLevelType w:val="multilevel"/>
    <w:tmpl w:val="7B390123"/>
    <w:lvl w:ilvl="0">
      <w:start w:val="1"/>
      <w:numFmt w:val="taiwaneseCountingThousand"/>
      <w:pStyle w:val="1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EyZDdmMzQzZjY2ODYzNTY0ZDMyYjFiMDE3YjdiYjIifQ=="/>
  </w:docVars>
  <w:rsids>
    <w:rsidRoot w:val="004D65EE"/>
    <w:rsid w:val="00021711"/>
    <w:rsid w:val="00030C72"/>
    <w:rsid w:val="000350E3"/>
    <w:rsid w:val="00050BB8"/>
    <w:rsid w:val="00071B22"/>
    <w:rsid w:val="00074E2F"/>
    <w:rsid w:val="00076E4B"/>
    <w:rsid w:val="00097F94"/>
    <w:rsid w:val="000A7C9A"/>
    <w:rsid w:val="000D45D8"/>
    <w:rsid w:val="000D5C98"/>
    <w:rsid w:val="000D7EAF"/>
    <w:rsid w:val="000E647C"/>
    <w:rsid w:val="000F27AE"/>
    <w:rsid w:val="001236E6"/>
    <w:rsid w:val="00127054"/>
    <w:rsid w:val="00127408"/>
    <w:rsid w:val="00135377"/>
    <w:rsid w:val="001613B3"/>
    <w:rsid w:val="001640C0"/>
    <w:rsid w:val="0016584B"/>
    <w:rsid w:val="001811B7"/>
    <w:rsid w:val="00184D45"/>
    <w:rsid w:val="001A2217"/>
    <w:rsid w:val="001A489B"/>
    <w:rsid w:val="001A6D0E"/>
    <w:rsid w:val="001B1C5D"/>
    <w:rsid w:val="001B2690"/>
    <w:rsid w:val="001B3F2D"/>
    <w:rsid w:val="001B4B8F"/>
    <w:rsid w:val="001B5C65"/>
    <w:rsid w:val="001C6B76"/>
    <w:rsid w:val="001E0548"/>
    <w:rsid w:val="001E4997"/>
    <w:rsid w:val="001E7248"/>
    <w:rsid w:val="001F7E46"/>
    <w:rsid w:val="00203D5A"/>
    <w:rsid w:val="002107C3"/>
    <w:rsid w:val="00234F61"/>
    <w:rsid w:val="00260A87"/>
    <w:rsid w:val="00264F75"/>
    <w:rsid w:val="0026634E"/>
    <w:rsid w:val="00266E2A"/>
    <w:rsid w:val="00267F65"/>
    <w:rsid w:val="002954B2"/>
    <w:rsid w:val="00296E58"/>
    <w:rsid w:val="002A1432"/>
    <w:rsid w:val="002A67B2"/>
    <w:rsid w:val="002B0980"/>
    <w:rsid w:val="002C3137"/>
    <w:rsid w:val="002E29FF"/>
    <w:rsid w:val="002F2F09"/>
    <w:rsid w:val="002F6BCC"/>
    <w:rsid w:val="00312001"/>
    <w:rsid w:val="003168DC"/>
    <w:rsid w:val="00322774"/>
    <w:rsid w:val="00333231"/>
    <w:rsid w:val="003501C1"/>
    <w:rsid w:val="00353AF4"/>
    <w:rsid w:val="00362D02"/>
    <w:rsid w:val="003644D2"/>
    <w:rsid w:val="00365E9B"/>
    <w:rsid w:val="00367920"/>
    <w:rsid w:val="00373FB4"/>
    <w:rsid w:val="003746B5"/>
    <w:rsid w:val="003A3F68"/>
    <w:rsid w:val="003C3D20"/>
    <w:rsid w:val="003D271D"/>
    <w:rsid w:val="003D33AB"/>
    <w:rsid w:val="003E0558"/>
    <w:rsid w:val="003E70F5"/>
    <w:rsid w:val="004000B3"/>
    <w:rsid w:val="00406D4C"/>
    <w:rsid w:val="00417DC3"/>
    <w:rsid w:val="004200BA"/>
    <w:rsid w:val="00420D18"/>
    <w:rsid w:val="00421A78"/>
    <w:rsid w:val="00435ADB"/>
    <w:rsid w:val="00445773"/>
    <w:rsid w:val="004466D4"/>
    <w:rsid w:val="004710F6"/>
    <w:rsid w:val="00473544"/>
    <w:rsid w:val="00473EBE"/>
    <w:rsid w:val="004A6C93"/>
    <w:rsid w:val="004C0688"/>
    <w:rsid w:val="004D28EB"/>
    <w:rsid w:val="004D4306"/>
    <w:rsid w:val="004D65EE"/>
    <w:rsid w:val="004E5310"/>
    <w:rsid w:val="004E72D6"/>
    <w:rsid w:val="004F5898"/>
    <w:rsid w:val="0050150A"/>
    <w:rsid w:val="00514BC3"/>
    <w:rsid w:val="0053515E"/>
    <w:rsid w:val="005416E1"/>
    <w:rsid w:val="005672B5"/>
    <w:rsid w:val="0059118B"/>
    <w:rsid w:val="00591F02"/>
    <w:rsid w:val="00592608"/>
    <w:rsid w:val="0059528D"/>
    <w:rsid w:val="005A600C"/>
    <w:rsid w:val="005B194E"/>
    <w:rsid w:val="005B3659"/>
    <w:rsid w:val="005D622B"/>
    <w:rsid w:val="005E275A"/>
    <w:rsid w:val="006013B5"/>
    <w:rsid w:val="00612D44"/>
    <w:rsid w:val="006219D2"/>
    <w:rsid w:val="0063057F"/>
    <w:rsid w:val="006317D6"/>
    <w:rsid w:val="00632607"/>
    <w:rsid w:val="00632ADE"/>
    <w:rsid w:val="0064327D"/>
    <w:rsid w:val="006458CE"/>
    <w:rsid w:val="00653620"/>
    <w:rsid w:val="00655855"/>
    <w:rsid w:val="00677CE2"/>
    <w:rsid w:val="00682741"/>
    <w:rsid w:val="006847E5"/>
    <w:rsid w:val="00695B3D"/>
    <w:rsid w:val="006A513C"/>
    <w:rsid w:val="006C2A66"/>
    <w:rsid w:val="006C370D"/>
    <w:rsid w:val="006C7FA6"/>
    <w:rsid w:val="006D545A"/>
    <w:rsid w:val="006D7B61"/>
    <w:rsid w:val="006E0982"/>
    <w:rsid w:val="006F3EC2"/>
    <w:rsid w:val="0070387D"/>
    <w:rsid w:val="00713A55"/>
    <w:rsid w:val="00714453"/>
    <w:rsid w:val="00751926"/>
    <w:rsid w:val="0075607B"/>
    <w:rsid w:val="00757075"/>
    <w:rsid w:val="007658C8"/>
    <w:rsid w:val="00766209"/>
    <w:rsid w:val="00770118"/>
    <w:rsid w:val="00770945"/>
    <w:rsid w:val="007848CB"/>
    <w:rsid w:val="007D0B0F"/>
    <w:rsid w:val="007D4EA8"/>
    <w:rsid w:val="007E18FB"/>
    <w:rsid w:val="007F239A"/>
    <w:rsid w:val="007F45A0"/>
    <w:rsid w:val="008025DF"/>
    <w:rsid w:val="008159BF"/>
    <w:rsid w:val="00821420"/>
    <w:rsid w:val="00831932"/>
    <w:rsid w:val="00835EEB"/>
    <w:rsid w:val="008360EF"/>
    <w:rsid w:val="00841BBB"/>
    <w:rsid w:val="008453F1"/>
    <w:rsid w:val="008760B5"/>
    <w:rsid w:val="00880BE7"/>
    <w:rsid w:val="00881777"/>
    <w:rsid w:val="00885614"/>
    <w:rsid w:val="008A5E56"/>
    <w:rsid w:val="008A6373"/>
    <w:rsid w:val="008B2289"/>
    <w:rsid w:val="008B62DD"/>
    <w:rsid w:val="008C06FD"/>
    <w:rsid w:val="008F4E0E"/>
    <w:rsid w:val="00901849"/>
    <w:rsid w:val="00902BEC"/>
    <w:rsid w:val="0092141C"/>
    <w:rsid w:val="00924E3C"/>
    <w:rsid w:val="00925991"/>
    <w:rsid w:val="0095323F"/>
    <w:rsid w:val="009571DF"/>
    <w:rsid w:val="00962137"/>
    <w:rsid w:val="009A6286"/>
    <w:rsid w:val="009B6208"/>
    <w:rsid w:val="009D3F3E"/>
    <w:rsid w:val="00A009B9"/>
    <w:rsid w:val="00A11EFE"/>
    <w:rsid w:val="00A25AAC"/>
    <w:rsid w:val="00A40272"/>
    <w:rsid w:val="00A40300"/>
    <w:rsid w:val="00A448AA"/>
    <w:rsid w:val="00A57D7E"/>
    <w:rsid w:val="00A60CC6"/>
    <w:rsid w:val="00A72A91"/>
    <w:rsid w:val="00A73048"/>
    <w:rsid w:val="00A7579B"/>
    <w:rsid w:val="00AA2AFF"/>
    <w:rsid w:val="00AB1AE4"/>
    <w:rsid w:val="00AB229B"/>
    <w:rsid w:val="00AB4125"/>
    <w:rsid w:val="00AD52E3"/>
    <w:rsid w:val="00AE0184"/>
    <w:rsid w:val="00AF5AD3"/>
    <w:rsid w:val="00AF6562"/>
    <w:rsid w:val="00AF65FE"/>
    <w:rsid w:val="00AF7EC2"/>
    <w:rsid w:val="00B27C07"/>
    <w:rsid w:val="00B40958"/>
    <w:rsid w:val="00B56288"/>
    <w:rsid w:val="00B562F5"/>
    <w:rsid w:val="00B61244"/>
    <w:rsid w:val="00B61795"/>
    <w:rsid w:val="00B66851"/>
    <w:rsid w:val="00B70D88"/>
    <w:rsid w:val="00B803F0"/>
    <w:rsid w:val="00B8685B"/>
    <w:rsid w:val="00B92931"/>
    <w:rsid w:val="00BB32F0"/>
    <w:rsid w:val="00BB678E"/>
    <w:rsid w:val="00BD161A"/>
    <w:rsid w:val="00BD54D9"/>
    <w:rsid w:val="00C03CBD"/>
    <w:rsid w:val="00C05418"/>
    <w:rsid w:val="00C0579A"/>
    <w:rsid w:val="00C07EDE"/>
    <w:rsid w:val="00C13E30"/>
    <w:rsid w:val="00C21D85"/>
    <w:rsid w:val="00C46EC0"/>
    <w:rsid w:val="00C61DF9"/>
    <w:rsid w:val="00C724D7"/>
    <w:rsid w:val="00C7369F"/>
    <w:rsid w:val="00C75237"/>
    <w:rsid w:val="00C824B2"/>
    <w:rsid w:val="00C971BD"/>
    <w:rsid w:val="00CA00AA"/>
    <w:rsid w:val="00CA49EB"/>
    <w:rsid w:val="00CA6464"/>
    <w:rsid w:val="00CB4B24"/>
    <w:rsid w:val="00CE59D4"/>
    <w:rsid w:val="00CF0B32"/>
    <w:rsid w:val="00D02659"/>
    <w:rsid w:val="00D11A47"/>
    <w:rsid w:val="00D1260D"/>
    <w:rsid w:val="00D22022"/>
    <w:rsid w:val="00D4199F"/>
    <w:rsid w:val="00D44F03"/>
    <w:rsid w:val="00D554D0"/>
    <w:rsid w:val="00D601D2"/>
    <w:rsid w:val="00D662EE"/>
    <w:rsid w:val="00D71072"/>
    <w:rsid w:val="00D759D7"/>
    <w:rsid w:val="00DA42EE"/>
    <w:rsid w:val="00DB32D8"/>
    <w:rsid w:val="00DB7C5E"/>
    <w:rsid w:val="00DD2E8C"/>
    <w:rsid w:val="00DD6D68"/>
    <w:rsid w:val="00E105DD"/>
    <w:rsid w:val="00E1405C"/>
    <w:rsid w:val="00E17DA7"/>
    <w:rsid w:val="00E257CC"/>
    <w:rsid w:val="00E443B2"/>
    <w:rsid w:val="00E50FD7"/>
    <w:rsid w:val="00E54B36"/>
    <w:rsid w:val="00E66808"/>
    <w:rsid w:val="00E767A9"/>
    <w:rsid w:val="00E816B2"/>
    <w:rsid w:val="00E82A90"/>
    <w:rsid w:val="00E90FC5"/>
    <w:rsid w:val="00EB240E"/>
    <w:rsid w:val="00EB2DE1"/>
    <w:rsid w:val="00EB46EB"/>
    <w:rsid w:val="00EC2D3D"/>
    <w:rsid w:val="00EC39A6"/>
    <w:rsid w:val="00ED220B"/>
    <w:rsid w:val="00ED3DAC"/>
    <w:rsid w:val="00ED414C"/>
    <w:rsid w:val="00F029E8"/>
    <w:rsid w:val="00F16D30"/>
    <w:rsid w:val="00F16F98"/>
    <w:rsid w:val="00F20C76"/>
    <w:rsid w:val="00F26C16"/>
    <w:rsid w:val="00F27FDB"/>
    <w:rsid w:val="00F36EBB"/>
    <w:rsid w:val="00F54E6B"/>
    <w:rsid w:val="00F67C42"/>
    <w:rsid w:val="00F7236A"/>
    <w:rsid w:val="00F73F48"/>
    <w:rsid w:val="00FA3730"/>
    <w:rsid w:val="00FA3DB6"/>
    <w:rsid w:val="00FB1EB7"/>
    <w:rsid w:val="00FB3C2A"/>
    <w:rsid w:val="00FC1F57"/>
    <w:rsid w:val="00FE1F39"/>
    <w:rsid w:val="00FE6114"/>
    <w:rsid w:val="04D20310"/>
    <w:rsid w:val="0ADA526C"/>
    <w:rsid w:val="148D0672"/>
    <w:rsid w:val="24EA2E39"/>
    <w:rsid w:val="3930052B"/>
    <w:rsid w:val="39AF77E4"/>
    <w:rsid w:val="3B8B0ED7"/>
    <w:rsid w:val="40F45D4E"/>
    <w:rsid w:val="427C3ECC"/>
    <w:rsid w:val="46D66D51"/>
    <w:rsid w:val="491B667E"/>
    <w:rsid w:val="4D8C33FE"/>
    <w:rsid w:val="5A113609"/>
    <w:rsid w:val="5BB84C78"/>
    <w:rsid w:val="71436346"/>
    <w:rsid w:val="75C52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B1EB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rsid w:val="00FB1EB7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仿宋_GB2312" w:eastAsia="仿宋_GB2312" w:hAnsi="仿宋_GB2312"/>
      <w:b/>
      <w:bCs/>
      <w:kern w:val="44"/>
      <w:sz w:val="28"/>
      <w:szCs w:val="28"/>
    </w:rPr>
  </w:style>
  <w:style w:type="paragraph" w:styleId="2">
    <w:name w:val="heading 2"/>
    <w:basedOn w:val="a"/>
    <w:next w:val="a"/>
    <w:qFormat/>
    <w:rsid w:val="00FB1EB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FB1EB7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B1EB7"/>
    <w:pPr>
      <w:ind w:left="590"/>
      <w:jc w:val="left"/>
      <w:outlineLvl w:val="3"/>
    </w:pPr>
    <w:rPr>
      <w:rFonts w:ascii="宋体" w:hAnsi="宋体" w:cstheme="minorBidi"/>
      <w:b/>
      <w:bCs/>
      <w:kern w:val="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FB1EB7"/>
    <w:pPr>
      <w:spacing w:after="12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FB1EB7"/>
    <w:pPr>
      <w:jc w:val="left"/>
    </w:pPr>
  </w:style>
  <w:style w:type="paragraph" w:styleId="a5">
    <w:name w:val="Body Text Indent"/>
    <w:basedOn w:val="a"/>
    <w:qFormat/>
    <w:rsid w:val="00FB1EB7"/>
    <w:pPr>
      <w:adjustRightInd w:val="0"/>
      <w:spacing w:line="360" w:lineRule="auto"/>
      <w:ind w:firstLine="490"/>
      <w:jc w:val="left"/>
    </w:pPr>
    <w:rPr>
      <w:rFonts w:ascii="Century Gothic" w:eastAsia="Century Gothic" w:hAnsi="Century Gothic"/>
      <w:sz w:val="24"/>
    </w:rPr>
  </w:style>
  <w:style w:type="paragraph" w:styleId="a6">
    <w:name w:val="Balloon Text"/>
    <w:basedOn w:val="a"/>
    <w:link w:val="Char0"/>
    <w:uiPriority w:val="99"/>
    <w:semiHidden/>
    <w:unhideWhenUsed/>
    <w:qFormat/>
    <w:rsid w:val="00FB1EB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FB1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rsid w:val="00FB1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link w:val="Char3"/>
    <w:uiPriority w:val="99"/>
    <w:unhideWhenUsed/>
    <w:qFormat/>
    <w:rsid w:val="00FB1E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sid w:val="00FB1EB7"/>
    <w:rPr>
      <w:b/>
      <w:bCs/>
    </w:rPr>
  </w:style>
  <w:style w:type="character" w:styleId="ab">
    <w:name w:val="annotation reference"/>
    <w:basedOn w:val="a1"/>
    <w:uiPriority w:val="99"/>
    <w:semiHidden/>
    <w:unhideWhenUsed/>
    <w:qFormat/>
    <w:rsid w:val="00FB1EB7"/>
    <w:rPr>
      <w:sz w:val="21"/>
      <w:szCs w:val="21"/>
    </w:rPr>
  </w:style>
  <w:style w:type="character" w:styleId="HTML">
    <w:name w:val="HTML Cite"/>
    <w:qFormat/>
    <w:rsid w:val="00FB1EB7"/>
  </w:style>
  <w:style w:type="character" w:customStyle="1" w:styleId="Char2">
    <w:name w:val="页眉 Char"/>
    <w:basedOn w:val="a1"/>
    <w:link w:val="a8"/>
    <w:uiPriority w:val="99"/>
    <w:qFormat/>
    <w:rsid w:val="00FB1EB7"/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qFormat/>
    <w:rsid w:val="00FB1EB7"/>
    <w:rPr>
      <w:sz w:val="18"/>
      <w:szCs w:val="18"/>
    </w:rPr>
  </w:style>
  <w:style w:type="paragraph" w:customStyle="1" w:styleId="ac">
    <w:name w:val="二级标题"/>
    <w:basedOn w:val="a"/>
    <w:qFormat/>
    <w:rsid w:val="00FB1EB7"/>
    <w:rPr>
      <w:rFonts w:asciiTheme="minorHAnsi" w:hAnsiTheme="minorHAnsi" w:cstheme="minorBidi"/>
      <w:b/>
      <w:sz w:val="32"/>
      <w:szCs w:val="24"/>
    </w:rPr>
  </w:style>
  <w:style w:type="paragraph" w:customStyle="1" w:styleId="10">
    <w:name w:val="纯文本1"/>
    <w:basedOn w:val="a"/>
    <w:link w:val="Char5"/>
    <w:qFormat/>
    <w:rsid w:val="00FB1EB7"/>
    <w:rPr>
      <w:rFonts w:ascii="宋体" w:hAnsi="Courier New" w:cs="Courier New"/>
      <w:szCs w:val="21"/>
    </w:rPr>
  </w:style>
  <w:style w:type="character" w:customStyle="1" w:styleId="Char5">
    <w:name w:val="纯文本 Char"/>
    <w:basedOn w:val="a1"/>
    <w:link w:val="10"/>
    <w:qFormat/>
    <w:rsid w:val="00FB1EB7"/>
    <w:rPr>
      <w:rFonts w:ascii="宋体" w:eastAsia="宋体" w:hAnsi="Courier New" w:cs="Courier New"/>
      <w:szCs w:val="21"/>
    </w:rPr>
  </w:style>
  <w:style w:type="paragraph" w:styleId="ad">
    <w:name w:val="List Paragraph"/>
    <w:basedOn w:val="a"/>
    <w:link w:val="Char10"/>
    <w:uiPriority w:val="34"/>
    <w:qFormat/>
    <w:rsid w:val="00FB1EB7"/>
    <w:pPr>
      <w:ind w:firstLineChars="200" w:firstLine="420"/>
    </w:pPr>
    <w:rPr>
      <w:lang w:val="zh-CN"/>
    </w:rPr>
  </w:style>
  <w:style w:type="character" w:customStyle="1" w:styleId="Char10">
    <w:name w:val="列出段落 Char1"/>
    <w:link w:val="ad"/>
    <w:uiPriority w:val="34"/>
    <w:qFormat/>
    <w:locked/>
    <w:rsid w:val="00FB1EB7"/>
    <w:rPr>
      <w:rFonts w:ascii="Calibri" w:eastAsia="宋体" w:hAnsi="Calibri" w:cs="Times New Roman"/>
      <w:lang w:val="zh-CN" w:eastAsia="zh-CN"/>
    </w:rPr>
  </w:style>
  <w:style w:type="character" w:customStyle="1" w:styleId="4Char">
    <w:name w:val="标题 4 Char"/>
    <w:basedOn w:val="a1"/>
    <w:link w:val="4"/>
    <w:uiPriority w:val="9"/>
    <w:qFormat/>
    <w:rsid w:val="00FB1EB7"/>
    <w:rPr>
      <w:rFonts w:ascii="宋体" w:eastAsia="宋体" w:hAnsi="宋体"/>
      <w:b/>
      <w:bCs/>
      <w:kern w:val="0"/>
      <w:sz w:val="24"/>
      <w:szCs w:val="24"/>
      <w:lang w:eastAsia="en-US"/>
    </w:rPr>
  </w:style>
  <w:style w:type="character" w:customStyle="1" w:styleId="Char">
    <w:name w:val="批注文字 Char"/>
    <w:basedOn w:val="a1"/>
    <w:link w:val="a4"/>
    <w:uiPriority w:val="99"/>
    <w:semiHidden/>
    <w:qFormat/>
    <w:rsid w:val="00FB1EB7"/>
    <w:rPr>
      <w:rFonts w:ascii="Calibri" w:eastAsia="宋体" w:hAnsi="Calibri" w:cs="Times New Roman"/>
    </w:rPr>
  </w:style>
  <w:style w:type="character" w:customStyle="1" w:styleId="Char4">
    <w:name w:val="批注主题 Char"/>
    <w:basedOn w:val="Char"/>
    <w:link w:val="aa"/>
    <w:uiPriority w:val="99"/>
    <w:semiHidden/>
    <w:qFormat/>
    <w:rsid w:val="00FB1EB7"/>
    <w:rPr>
      <w:rFonts w:ascii="Calibri" w:eastAsia="宋体" w:hAnsi="Calibri" w:cs="Times New Roman"/>
      <w:b/>
      <w:bCs/>
    </w:rPr>
  </w:style>
  <w:style w:type="character" w:customStyle="1" w:styleId="Char0">
    <w:name w:val="批注框文本 Char"/>
    <w:basedOn w:val="a1"/>
    <w:link w:val="a6"/>
    <w:uiPriority w:val="99"/>
    <w:semiHidden/>
    <w:qFormat/>
    <w:rsid w:val="00FB1EB7"/>
    <w:rPr>
      <w:rFonts w:ascii="Calibri" w:eastAsia="宋体" w:hAnsi="Calibri" w:cs="Times New Roman"/>
      <w:sz w:val="18"/>
      <w:szCs w:val="18"/>
    </w:rPr>
  </w:style>
  <w:style w:type="paragraph" w:customStyle="1" w:styleId="U2">
    <w:name w:val="U_正文2"/>
    <w:basedOn w:val="a"/>
    <w:qFormat/>
    <w:rsid w:val="00FB1EB7"/>
    <w:pPr>
      <w:spacing w:beforeLines="10" w:afterLines="10" w:line="300" w:lineRule="auto"/>
    </w:pPr>
    <w:rPr>
      <w:sz w:val="24"/>
      <w:szCs w:val="20"/>
    </w:rPr>
  </w:style>
  <w:style w:type="character" w:customStyle="1" w:styleId="Char3">
    <w:name w:val="普通(网站) Char"/>
    <w:link w:val="a9"/>
    <w:uiPriority w:val="99"/>
    <w:qFormat/>
    <w:locked/>
    <w:rsid w:val="00FB1EB7"/>
    <w:rPr>
      <w:rFonts w:ascii="宋体" w:eastAsia="宋体" w:hAnsi="宋体" w:cs="宋体"/>
      <w:sz w:val="24"/>
      <w:szCs w:val="24"/>
    </w:rPr>
  </w:style>
  <w:style w:type="paragraph" w:customStyle="1" w:styleId="ae">
    <w:name w:val="投标正文"/>
    <w:basedOn w:val="a"/>
    <w:link w:val="Char6"/>
    <w:qFormat/>
    <w:rsid w:val="00FB1EB7"/>
    <w:pPr>
      <w:spacing w:line="360" w:lineRule="auto"/>
      <w:ind w:left="102" w:firstLineChars="200" w:firstLine="200"/>
    </w:pPr>
    <w:rPr>
      <w:rFonts w:eastAsia="仿宋"/>
      <w:sz w:val="32"/>
      <w:szCs w:val="24"/>
      <w:lang w:val="zh-CN"/>
    </w:rPr>
  </w:style>
  <w:style w:type="character" w:customStyle="1" w:styleId="Char6">
    <w:name w:val="投标正文 Char"/>
    <w:link w:val="ae"/>
    <w:qFormat/>
    <w:rsid w:val="00FB1EB7"/>
    <w:rPr>
      <w:rFonts w:ascii="Calibri" w:eastAsia="仿宋" w:hAnsi="Calibri" w:cs="Times New Roman"/>
      <w:kern w:val="2"/>
      <w:sz w:val="32"/>
      <w:szCs w:val="24"/>
      <w:lang w:val="zh-CN" w:eastAsia="zh-CN"/>
    </w:rPr>
  </w:style>
  <w:style w:type="paragraph" w:customStyle="1" w:styleId="Style32">
    <w:name w:val="_Style 32"/>
    <w:basedOn w:val="a"/>
    <w:next w:val="ad"/>
    <w:link w:val="Char7"/>
    <w:qFormat/>
    <w:rsid w:val="00FB1EB7"/>
    <w:pPr>
      <w:ind w:firstLineChars="200" w:firstLine="420"/>
    </w:pPr>
    <w:rPr>
      <w:rFonts w:ascii="Times New Roman" w:hAnsi="Times New Roman" w:cstheme="minorBidi"/>
      <w:szCs w:val="20"/>
    </w:rPr>
  </w:style>
  <w:style w:type="character" w:customStyle="1" w:styleId="Char7">
    <w:name w:val="列出段落 Char"/>
    <w:link w:val="Style32"/>
    <w:qFormat/>
    <w:rsid w:val="00FB1EB7"/>
    <w:rPr>
      <w:rFonts w:ascii="Times New Roman" w:eastAsia="宋体" w:hAnsi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357</Words>
  <Characters>2037</Characters>
  <Application>Microsoft Office Word</Application>
  <DocSecurity>0</DocSecurity>
  <Lines>16</Lines>
  <Paragraphs>4</Paragraphs>
  <ScaleCrop>false</ScaleCrop>
  <Company>微软中国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周凯</dc:creator>
  <cp:lastModifiedBy>sbk-111</cp:lastModifiedBy>
  <cp:revision>14</cp:revision>
  <dcterms:created xsi:type="dcterms:W3CDTF">2024-06-04T01:18:00Z</dcterms:created>
  <dcterms:modified xsi:type="dcterms:W3CDTF">2024-06-11T06:31:00Z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3503480FC99E44EE85DC939A55C835AB_13</vt:lpwstr>
  </property>
</Properties>
</file>