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CA367F">
        <w:rPr>
          <w:rFonts w:asciiTheme="minorEastAsia" w:hAnsiTheme="minorEastAsia" w:hint="eastAsia"/>
          <w:b/>
          <w:bCs/>
          <w:sz w:val="32"/>
          <w:szCs w:val="32"/>
        </w:rPr>
        <w:t>东院区</w:t>
      </w:r>
      <w:r w:rsidR="00553E58">
        <w:rPr>
          <w:rFonts w:asciiTheme="minorEastAsia" w:hAnsiTheme="minorEastAsia" w:hint="eastAsia"/>
          <w:b/>
          <w:bCs/>
          <w:sz w:val="32"/>
          <w:szCs w:val="32"/>
        </w:rPr>
        <w:t>地下车库</w:t>
      </w:r>
      <w:proofErr w:type="gramStart"/>
      <w:r w:rsidR="00553E58">
        <w:rPr>
          <w:rFonts w:asciiTheme="minorEastAsia" w:hAnsiTheme="minorEastAsia" w:hint="eastAsia"/>
          <w:b/>
          <w:bCs/>
          <w:sz w:val="32"/>
          <w:szCs w:val="32"/>
        </w:rPr>
        <w:t>导视牌</w:t>
      </w:r>
      <w:r>
        <w:rPr>
          <w:rFonts w:asciiTheme="minorEastAsia" w:hAnsiTheme="minorEastAsia" w:hint="eastAsia"/>
          <w:b/>
          <w:bCs/>
          <w:sz w:val="32"/>
          <w:szCs w:val="32"/>
        </w:rPr>
        <w:t>制作</w:t>
      </w:r>
      <w:proofErr w:type="gramEnd"/>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东院区</w:t>
            </w:r>
            <w:r w:rsidR="00553E58" w:rsidRPr="00553E58">
              <w:rPr>
                <w:rFonts w:ascii="宋体" w:eastAsia="宋体" w:hAnsi="宋体" w:cs="宋体" w:hint="eastAsia"/>
                <w:kern w:val="0"/>
                <w:sz w:val="24"/>
                <w:szCs w:val="24"/>
              </w:rPr>
              <w:t>地下车库</w:t>
            </w:r>
            <w:proofErr w:type="gramStart"/>
            <w:r w:rsidR="00553E58" w:rsidRPr="00553E58">
              <w:rPr>
                <w:rFonts w:ascii="宋体" w:eastAsia="宋体" w:hAnsi="宋体" w:cs="宋体" w:hint="eastAsia"/>
                <w:kern w:val="0"/>
                <w:sz w:val="24"/>
                <w:szCs w:val="24"/>
              </w:rPr>
              <w:t>导视牌</w:t>
            </w:r>
            <w:r w:rsidRPr="00B93821">
              <w:rPr>
                <w:rFonts w:ascii="宋体" w:eastAsia="宋体" w:hAnsi="宋体" w:cs="宋体" w:hint="eastAsia"/>
                <w:kern w:val="0"/>
                <w:sz w:val="24"/>
                <w:szCs w:val="24"/>
              </w:rPr>
              <w:t>制作</w:t>
            </w:r>
            <w:proofErr w:type="gramEnd"/>
            <w:r w:rsidRPr="00B93821">
              <w:rPr>
                <w:rFonts w:ascii="宋体" w:eastAsia="宋体" w:hAnsi="宋体" w:cs="宋体" w:hint="eastAsia"/>
                <w:kern w:val="0"/>
                <w:sz w:val="24"/>
                <w:szCs w:val="24"/>
              </w:rPr>
              <w:t>及安装项目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项目具体</w:t>
            </w:r>
            <w:r w:rsidR="00CA367F" w:rsidRPr="00B93821">
              <w:rPr>
                <w:rFonts w:ascii="宋体" w:eastAsia="宋体" w:hAnsi="宋体" w:cs="宋体" w:hint="eastAsia"/>
                <w:kern w:val="0"/>
                <w:sz w:val="24"/>
                <w:szCs w:val="24"/>
              </w:rPr>
              <w:t>清单见附件</w:t>
            </w:r>
            <w:r w:rsidRPr="00B93821">
              <w:rPr>
                <w:rFonts w:ascii="宋体" w:eastAsia="宋体" w:hAnsi="宋体" w:cs="宋体" w:hint="eastAsia"/>
                <w:kern w:val="0"/>
                <w:sz w:val="24"/>
                <w:szCs w:val="24"/>
              </w:rPr>
              <w:t>一</w:t>
            </w:r>
          </w:p>
        </w:tc>
        <w:tc>
          <w:tcPr>
            <w:tcW w:w="1326" w:type="dxa"/>
          </w:tcPr>
          <w:p w:rsidR="00CA367F" w:rsidRPr="00B93821" w:rsidRDefault="00250934" w:rsidP="009E0F78">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7</w:t>
            </w:r>
            <w:r w:rsidR="00CA367F" w:rsidRPr="00B93821">
              <w:rPr>
                <w:rFonts w:ascii="宋体" w:eastAsia="宋体" w:hAnsi="宋体" w:cs="宋体" w:hint="eastAsia"/>
                <w:kern w:val="0"/>
                <w:sz w:val="24"/>
                <w:szCs w:val="24"/>
              </w:rPr>
              <w:t>万元</w:t>
            </w:r>
          </w:p>
        </w:tc>
      </w:tr>
    </w:tbl>
    <w:p w:rsidR="001A7F4B"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二</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1A001E">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个月</w:t>
      </w:r>
      <w:r w:rsidR="001A001E">
        <w:rPr>
          <w:rFonts w:ascii="宋体" w:eastAsia="宋体" w:hAnsi="宋体" w:cs="宋体" w:hint="eastAsia"/>
          <w:kern w:val="0"/>
          <w:sz w:val="24"/>
          <w:szCs w:val="24"/>
        </w:rPr>
        <w:t>内其中一个</w:t>
      </w:r>
      <w:r w:rsidR="00D42D27">
        <w:rPr>
          <w:rFonts w:ascii="宋体" w:eastAsia="宋体" w:hAnsi="宋体" w:cs="宋体" w:hint="eastAsia"/>
          <w:kern w:val="0"/>
          <w:sz w:val="24"/>
          <w:szCs w:val="24"/>
        </w:rPr>
        <w:t>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981320">
        <w:rPr>
          <w:rFonts w:ascii="宋体" w:eastAsia="宋体" w:hAnsi="宋体" w:cs="宋体" w:hint="eastAsia"/>
          <w:kern w:val="0"/>
          <w:sz w:val="24"/>
          <w:szCs w:val="24"/>
        </w:rPr>
        <w:t>、</w:t>
      </w:r>
      <w:r w:rsidR="004D3E13"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00666343">
        <w:rPr>
          <w:rFonts w:ascii="宋体" w:eastAsia="宋体" w:hAnsi="宋体" w:cs="宋体" w:hint="eastAsia"/>
          <w:kern w:val="0"/>
          <w:sz w:val="24"/>
          <w:szCs w:val="24"/>
        </w:rPr>
        <w:t>项目</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6343">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1114</w:t>
      </w:r>
      <w:r>
        <w:rPr>
          <w:rFonts w:ascii="宋体" w:eastAsia="宋体" w:hAnsi="宋体" w:cs="宋体" w:hint="eastAsia"/>
          <w:kern w:val="0"/>
          <w:sz w:val="24"/>
          <w:szCs w:val="24"/>
        </w:rPr>
        <w:t>室）报名，联系人：肖老师、蔡老师，联系电话：0574-87016979。报名截止时间202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4D3E13">
        <w:rPr>
          <w:rFonts w:ascii="宋体" w:eastAsia="宋体" w:hAnsi="宋体" w:cs="宋体" w:hint="eastAsia"/>
          <w:kern w:val="0"/>
          <w:sz w:val="24"/>
          <w:szCs w:val="24"/>
        </w:rPr>
        <w:t>3</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396348">
        <w:rPr>
          <w:rFonts w:ascii="宋体" w:eastAsia="宋体" w:hAnsi="宋体" w:cs="宋体" w:hint="eastAsia"/>
          <w:kern w:val="0"/>
          <w:sz w:val="24"/>
          <w:szCs w:val="24"/>
        </w:rPr>
        <w:t>1</w:t>
      </w:r>
      <w:r>
        <w:rPr>
          <w:rFonts w:ascii="宋体" w:eastAsia="宋体" w:hAnsi="宋体" w:cs="宋体" w:hint="eastAsia"/>
          <w:kern w:val="0"/>
          <w:sz w:val="24"/>
          <w:szCs w:val="24"/>
        </w:rPr>
        <w:t>日</w:t>
      </w:r>
      <w:r w:rsidR="00250934">
        <w:rPr>
          <w:rFonts w:ascii="宋体" w:eastAsia="宋体" w:hAnsi="宋体" w:cs="宋体" w:hint="eastAsia"/>
          <w:kern w:val="0"/>
          <w:sz w:val="24"/>
          <w:szCs w:val="24"/>
        </w:rPr>
        <w:t>17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4D3E13">
        <w:rPr>
          <w:rFonts w:ascii="宋体" w:eastAsia="宋体" w:hAnsi="宋体" w:cs="宋体" w:hint="eastAsia"/>
          <w:kern w:val="0"/>
          <w:sz w:val="24"/>
          <w:szCs w:val="24"/>
        </w:rPr>
        <w:t>3</w:t>
      </w:r>
      <w:r>
        <w:rPr>
          <w:rFonts w:ascii="宋体" w:eastAsia="宋体" w:hAnsi="宋体" w:cs="宋体" w:hint="eastAsia"/>
          <w:kern w:val="0"/>
          <w:sz w:val="24"/>
          <w:szCs w:val="24"/>
        </w:rPr>
        <w:t>月</w:t>
      </w:r>
      <w:r w:rsidR="00666343">
        <w:rPr>
          <w:rFonts w:ascii="宋体" w:eastAsia="宋体" w:hAnsi="宋体" w:cs="宋体" w:hint="eastAsia"/>
          <w:kern w:val="0"/>
          <w:sz w:val="24"/>
          <w:szCs w:val="24"/>
        </w:rPr>
        <w:t>1</w:t>
      </w:r>
      <w:r w:rsidR="00250934">
        <w:rPr>
          <w:rFonts w:ascii="宋体" w:eastAsia="宋体" w:hAnsi="宋体" w:cs="宋体" w:hint="eastAsia"/>
          <w:kern w:val="0"/>
          <w:sz w:val="24"/>
          <w:szCs w:val="24"/>
        </w:rPr>
        <w:t>2</w:t>
      </w:r>
      <w:r>
        <w:rPr>
          <w:rFonts w:ascii="宋体" w:eastAsia="宋体" w:hAnsi="宋体" w:cs="宋体" w:hint="eastAsia"/>
          <w:kern w:val="0"/>
          <w:sz w:val="24"/>
          <w:szCs w:val="24"/>
        </w:rPr>
        <w:t>日</w:t>
      </w:r>
      <w:r w:rsidR="00422FF3">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666343">
        <w:rPr>
          <w:rFonts w:ascii="宋体" w:eastAsia="宋体" w:hAnsi="宋体" w:cs="宋体" w:hint="eastAsia"/>
          <w:kern w:val="0"/>
          <w:sz w:val="24"/>
          <w:szCs w:val="24"/>
        </w:rPr>
        <w:t>2</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1A7F4B" w:rsidRPr="00B93821">
        <w:rPr>
          <w:rFonts w:ascii="宋体" w:eastAsia="宋体" w:hAnsi="宋体" w:cs="宋体"/>
          <w:kern w:val="0"/>
          <w:sz w:val="24"/>
          <w:szCs w:val="24"/>
        </w:rPr>
        <w:t>、评标方法：本项目采用综合评分法</w:t>
      </w:r>
      <w:r w:rsidR="004D3E13"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五</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-3-</w:t>
      </w:r>
      <w:r w:rsidR="00250934">
        <w:rPr>
          <w:rFonts w:ascii="宋体" w:eastAsia="宋体" w:hAnsi="宋体" w:cs="宋体" w:hint="eastAsia"/>
          <w:kern w:val="0"/>
          <w:sz w:val="24"/>
          <w:szCs w:val="24"/>
        </w:rPr>
        <w:t>7</w:t>
      </w:r>
    </w:p>
    <w:p w:rsidR="00C3594C" w:rsidRDefault="001C79B9" w:rsidP="00172C5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附件一、项目具体清单</w:t>
      </w:r>
      <w:r w:rsidR="00B93821">
        <w:rPr>
          <w:rFonts w:ascii="宋体" w:eastAsia="宋体" w:hAnsi="宋体" w:cs="宋体" w:hint="eastAsia"/>
          <w:kern w:val="0"/>
          <w:sz w:val="24"/>
          <w:szCs w:val="24"/>
        </w:rPr>
        <w:t>：</w:t>
      </w:r>
    </w:p>
    <w:tbl>
      <w:tblPr>
        <w:tblStyle w:val="a7"/>
        <w:tblW w:w="0" w:type="auto"/>
        <w:tblInd w:w="-459" w:type="dxa"/>
        <w:tblLayout w:type="fixed"/>
        <w:tblLook w:val="04A0"/>
      </w:tblPr>
      <w:tblGrid>
        <w:gridCol w:w="709"/>
        <w:gridCol w:w="1276"/>
        <w:gridCol w:w="2410"/>
        <w:gridCol w:w="1701"/>
        <w:gridCol w:w="708"/>
        <w:gridCol w:w="2177"/>
      </w:tblGrid>
      <w:tr w:rsidR="009E0F78" w:rsidRPr="00816CD2" w:rsidTr="00D20E37">
        <w:tc>
          <w:tcPr>
            <w:tcW w:w="709" w:type="dxa"/>
          </w:tcPr>
          <w:p w:rsidR="009E0F78" w:rsidRPr="00816CD2" w:rsidRDefault="009E0F78" w:rsidP="00D20E37">
            <w:pPr>
              <w:rPr>
                <w:sz w:val="24"/>
                <w:szCs w:val="24"/>
              </w:rPr>
            </w:pPr>
            <w:r w:rsidRPr="00816CD2">
              <w:rPr>
                <w:rFonts w:hint="eastAsia"/>
                <w:sz w:val="24"/>
                <w:szCs w:val="24"/>
              </w:rPr>
              <w:t>序号</w:t>
            </w:r>
          </w:p>
        </w:tc>
        <w:tc>
          <w:tcPr>
            <w:tcW w:w="1276" w:type="dxa"/>
          </w:tcPr>
          <w:p w:rsidR="009E0F78" w:rsidRPr="00816CD2" w:rsidRDefault="009E0F78" w:rsidP="00D20E37">
            <w:pPr>
              <w:rPr>
                <w:sz w:val="24"/>
                <w:szCs w:val="24"/>
              </w:rPr>
            </w:pPr>
            <w:r w:rsidRPr="00816CD2">
              <w:rPr>
                <w:rFonts w:hint="eastAsia"/>
                <w:sz w:val="24"/>
                <w:szCs w:val="24"/>
              </w:rPr>
              <w:t>项目名称</w:t>
            </w:r>
          </w:p>
        </w:tc>
        <w:tc>
          <w:tcPr>
            <w:tcW w:w="2410" w:type="dxa"/>
          </w:tcPr>
          <w:p w:rsidR="009E0F78" w:rsidRPr="00816CD2" w:rsidRDefault="009E0F78" w:rsidP="00D20E37">
            <w:pPr>
              <w:rPr>
                <w:sz w:val="24"/>
                <w:szCs w:val="24"/>
              </w:rPr>
            </w:pPr>
            <w:r w:rsidRPr="00816CD2">
              <w:rPr>
                <w:rFonts w:hint="eastAsia"/>
                <w:sz w:val="24"/>
                <w:szCs w:val="24"/>
              </w:rPr>
              <w:t>制作要求</w:t>
            </w:r>
          </w:p>
        </w:tc>
        <w:tc>
          <w:tcPr>
            <w:tcW w:w="1701" w:type="dxa"/>
          </w:tcPr>
          <w:p w:rsidR="009E0F78" w:rsidRPr="00816CD2" w:rsidRDefault="009E0F78" w:rsidP="00D20E37">
            <w:pPr>
              <w:rPr>
                <w:sz w:val="24"/>
                <w:szCs w:val="24"/>
              </w:rPr>
            </w:pPr>
            <w:r w:rsidRPr="00816CD2">
              <w:rPr>
                <w:rFonts w:hint="eastAsia"/>
                <w:sz w:val="24"/>
                <w:szCs w:val="24"/>
              </w:rPr>
              <w:t>规格（</w:t>
            </w:r>
            <w:r>
              <w:rPr>
                <w:rFonts w:hint="eastAsia"/>
                <w:sz w:val="24"/>
                <w:szCs w:val="24"/>
              </w:rPr>
              <w:t>m</w:t>
            </w:r>
            <w:r w:rsidRPr="00816CD2">
              <w:rPr>
                <w:rFonts w:hint="eastAsia"/>
                <w:sz w:val="24"/>
                <w:szCs w:val="24"/>
              </w:rPr>
              <w:t>m</w:t>
            </w:r>
            <w:r w:rsidRPr="00816CD2">
              <w:rPr>
                <w:rFonts w:hint="eastAsia"/>
                <w:sz w:val="24"/>
                <w:szCs w:val="24"/>
              </w:rPr>
              <w:t>）</w:t>
            </w:r>
          </w:p>
        </w:tc>
        <w:tc>
          <w:tcPr>
            <w:tcW w:w="708" w:type="dxa"/>
          </w:tcPr>
          <w:p w:rsidR="009E0F78" w:rsidRPr="00816CD2" w:rsidRDefault="009E0F78" w:rsidP="00D20E37">
            <w:pPr>
              <w:rPr>
                <w:sz w:val="24"/>
                <w:szCs w:val="24"/>
              </w:rPr>
            </w:pPr>
            <w:r w:rsidRPr="00816CD2">
              <w:rPr>
                <w:rFonts w:hint="eastAsia"/>
                <w:sz w:val="24"/>
                <w:szCs w:val="24"/>
              </w:rPr>
              <w:t>数量</w:t>
            </w:r>
          </w:p>
        </w:tc>
        <w:tc>
          <w:tcPr>
            <w:tcW w:w="2177" w:type="dxa"/>
          </w:tcPr>
          <w:p w:rsidR="009E0F78" w:rsidRPr="00816CD2" w:rsidRDefault="009E0F78" w:rsidP="00D20E37">
            <w:pPr>
              <w:rPr>
                <w:sz w:val="24"/>
                <w:szCs w:val="24"/>
              </w:rPr>
            </w:pPr>
            <w:r w:rsidRPr="00816CD2">
              <w:rPr>
                <w:rFonts w:hint="eastAsia"/>
                <w:sz w:val="24"/>
                <w:szCs w:val="24"/>
              </w:rPr>
              <w:t>参考样式</w:t>
            </w:r>
          </w:p>
        </w:tc>
      </w:tr>
      <w:tr w:rsidR="009E0F78" w:rsidRPr="00816CD2" w:rsidTr="00D20E37">
        <w:trPr>
          <w:trHeight w:val="742"/>
        </w:trPr>
        <w:tc>
          <w:tcPr>
            <w:tcW w:w="709" w:type="dxa"/>
            <w:vAlign w:val="center"/>
          </w:tcPr>
          <w:p w:rsidR="009E0F78" w:rsidRPr="00816CD2" w:rsidRDefault="009E0F78" w:rsidP="00D20E37">
            <w:pPr>
              <w:jc w:val="center"/>
              <w:rPr>
                <w:sz w:val="24"/>
                <w:szCs w:val="24"/>
              </w:rPr>
            </w:pPr>
            <w:r w:rsidRPr="00816CD2">
              <w:rPr>
                <w:rFonts w:hint="eastAsia"/>
                <w:sz w:val="24"/>
                <w:szCs w:val="24"/>
              </w:rPr>
              <w:t>1</w:t>
            </w:r>
          </w:p>
        </w:tc>
        <w:tc>
          <w:tcPr>
            <w:tcW w:w="1276" w:type="dxa"/>
            <w:vMerge w:val="restart"/>
            <w:vAlign w:val="center"/>
          </w:tcPr>
          <w:p w:rsidR="009E0F78" w:rsidRPr="00816CD2" w:rsidRDefault="009E0F78" w:rsidP="00D20E37">
            <w:pPr>
              <w:rPr>
                <w:sz w:val="24"/>
                <w:szCs w:val="24"/>
              </w:rPr>
            </w:pPr>
            <w:r w:rsidRPr="00D92F88">
              <w:rPr>
                <w:rFonts w:hint="eastAsia"/>
                <w:sz w:val="24"/>
                <w:szCs w:val="24"/>
              </w:rPr>
              <w:t>地下车库造型</w:t>
            </w:r>
            <w:proofErr w:type="gramStart"/>
            <w:r w:rsidRPr="00D92F88">
              <w:rPr>
                <w:rFonts w:hint="eastAsia"/>
                <w:sz w:val="24"/>
                <w:szCs w:val="24"/>
              </w:rPr>
              <w:t>导视牌双面</w:t>
            </w:r>
            <w:proofErr w:type="gramEnd"/>
          </w:p>
        </w:tc>
        <w:tc>
          <w:tcPr>
            <w:tcW w:w="2410" w:type="dxa"/>
            <w:vMerge w:val="restart"/>
          </w:tcPr>
          <w:p w:rsidR="009E0F78" w:rsidRPr="00816CD2" w:rsidRDefault="009E0F78" w:rsidP="00D20E37">
            <w:pPr>
              <w:rPr>
                <w:sz w:val="24"/>
                <w:szCs w:val="24"/>
              </w:rPr>
            </w:pPr>
            <w:r w:rsidRPr="00D92F88">
              <w:rPr>
                <w:rFonts w:hint="eastAsia"/>
                <w:sz w:val="24"/>
                <w:szCs w:val="24"/>
              </w:rPr>
              <w:t>1.2</w:t>
            </w:r>
            <w:r w:rsidRPr="00D92F88">
              <w:rPr>
                <w:rFonts w:hint="eastAsia"/>
                <w:sz w:val="24"/>
                <w:szCs w:val="24"/>
              </w:rPr>
              <w:t>不锈钢</w:t>
            </w:r>
            <w:r w:rsidRPr="00D92F88">
              <w:rPr>
                <w:rFonts w:hint="eastAsia"/>
                <w:sz w:val="24"/>
                <w:szCs w:val="24"/>
              </w:rPr>
              <w:t xml:space="preserve"> </w:t>
            </w:r>
            <w:r w:rsidRPr="00D92F88">
              <w:rPr>
                <w:rFonts w:hint="eastAsia"/>
                <w:sz w:val="24"/>
                <w:szCs w:val="24"/>
              </w:rPr>
              <w:t>激光切割</w:t>
            </w:r>
            <w:r w:rsidRPr="00D92F88">
              <w:rPr>
                <w:rFonts w:hint="eastAsia"/>
                <w:sz w:val="24"/>
                <w:szCs w:val="24"/>
              </w:rPr>
              <w:t xml:space="preserve"> </w:t>
            </w:r>
            <w:r w:rsidRPr="00D92F88">
              <w:rPr>
                <w:rFonts w:hint="eastAsia"/>
                <w:sz w:val="24"/>
                <w:szCs w:val="24"/>
              </w:rPr>
              <w:t>开槽</w:t>
            </w:r>
            <w:r w:rsidRPr="00D92F88">
              <w:rPr>
                <w:rFonts w:hint="eastAsia"/>
                <w:sz w:val="24"/>
                <w:szCs w:val="24"/>
              </w:rPr>
              <w:t xml:space="preserve"> </w:t>
            </w:r>
            <w:r w:rsidRPr="00D92F88">
              <w:rPr>
                <w:rFonts w:hint="eastAsia"/>
                <w:sz w:val="24"/>
                <w:szCs w:val="24"/>
              </w:rPr>
              <w:t>折边</w:t>
            </w:r>
            <w:r w:rsidRPr="00D92F88">
              <w:rPr>
                <w:rFonts w:hint="eastAsia"/>
                <w:sz w:val="24"/>
                <w:szCs w:val="24"/>
              </w:rPr>
              <w:t xml:space="preserve"> </w:t>
            </w:r>
            <w:r w:rsidRPr="00D92F88">
              <w:rPr>
                <w:rFonts w:hint="eastAsia"/>
                <w:sz w:val="24"/>
                <w:szCs w:val="24"/>
              </w:rPr>
              <w:t>焊接</w:t>
            </w:r>
            <w:r w:rsidRPr="00D92F88">
              <w:rPr>
                <w:rFonts w:hint="eastAsia"/>
                <w:sz w:val="24"/>
                <w:szCs w:val="24"/>
              </w:rPr>
              <w:t xml:space="preserve"> </w:t>
            </w:r>
            <w:r w:rsidRPr="00D92F88">
              <w:rPr>
                <w:rFonts w:hint="eastAsia"/>
                <w:sz w:val="24"/>
                <w:szCs w:val="24"/>
              </w:rPr>
              <w:t>打磨</w:t>
            </w:r>
            <w:r w:rsidRPr="00D92F88">
              <w:rPr>
                <w:rFonts w:hint="eastAsia"/>
                <w:sz w:val="24"/>
                <w:szCs w:val="24"/>
              </w:rPr>
              <w:t xml:space="preserve"> </w:t>
            </w:r>
            <w:r w:rsidRPr="00D92F88">
              <w:rPr>
                <w:rFonts w:hint="eastAsia"/>
                <w:sz w:val="24"/>
                <w:szCs w:val="24"/>
              </w:rPr>
              <w:t>烤漆</w:t>
            </w:r>
            <w:r w:rsidRPr="00D92F88">
              <w:rPr>
                <w:rFonts w:hint="eastAsia"/>
                <w:sz w:val="24"/>
                <w:szCs w:val="24"/>
              </w:rPr>
              <w:t xml:space="preserve"> </w:t>
            </w:r>
            <w:proofErr w:type="gramStart"/>
            <w:r w:rsidRPr="00D92F88">
              <w:rPr>
                <w:rFonts w:hint="eastAsia"/>
                <w:sz w:val="24"/>
                <w:szCs w:val="24"/>
              </w:rPr>
              <w:t>蓝景</w:t>
            </w:r>
            <w:proofErr w:type="gramEnd"/>
            <w:r w:rsidRPr="00D92F88">
              <w:rPr>
                <w:rFonts w:hint="eastAsia"/>
                <w:sz w:val="24"/>
                <w:szCs w:val="24"/>
              </w:rPr>
              <w:t>LED</w:t>
            </w:r>
            <w:r w:rsidRPr="00D92F88">
              <w:rPr>
                <w:rFonts w:hint="eastAsia"/>
                <w:sz w:val="24"/>
                <w:szCs w:val="24"/>
              </w:rPr>
              <w:t>模组</w:t>
            </w:r>
            <w:r w:rsidRPr="00D92F88">
              <w:rPr>
                <w:rFonts w:hint="eastAsia"/>
                <w:sz w:val="24"/>
                <w:szCs w:val="24"/>
              </w:rPr>
              <w:t xml:space="preserve"> </w:t>
            </w:r>
            <w:r w:rsidRPr="00D92F88">
              <w:rPr>
                <w:rFonts w:hint="eastAsia"/>
                <w:sz w:val="24"/>
                <w:szCs w:val="24"/>
              </w:rPr>
              <w:t>内衬</w:t>
            </w:r>
            <w:r w:rsidRPr="00D92F88">
              <w:rPr>
                <w:rFonts w:hint="eastAsia"/>
                <w:sz w:val="24"/>
                <w:szCs w:val="24"/>
              </w:rPr>
              <w:t>3mm</w:t>
            </w:r>
            <w:r w:rsidRPr="00D92F88">
              <w:rPr>
                <w:rFonts w:hint="eastAsia"/>
                <w:sz w:val="24"/>
                <w:szCs w:val="24"/>
              </w:rPr>
              <w:t>灯白亚克力板</w:t>
            </w:r>
            <w:r w:rsidRPr="00D92F88">
              <w:rPr>
                <w:rFonts w:hint="eastAsia"/>
                <w:sz w:val="24"/>
                <w:szCs w:val="24"/>
              </w:rPr>
              <w:t xml:space="preserve"> 20mm</w:t>
            </w:r>
            <w:r w:rsidRPr="00D92F88">
              <w:rPr>
                <w:rFonts w:hint="eastAsia"/>
                <w:sz w:val="24"/>
                <w:szCs w:val="24"/>
              </w:rPr>
              <w:t>吊拉</w:t>
            </w:r>
            <w:r w:rsidRPr="00D92F88">
              <w:rPr>
                <w:rFonts w:hint="eastAsia"/>
                <w:sz w:val="24"/>
                <w:szCs w:val="24"/>
              </w:rPr>
              <w:t xml:space="preserve"> </w:t>
            </w:r>
            <w:r w:rsidRPr="00D92F88">
              <w:rPr>
                <w:rFonts w:hint="eastAsia"/>
                <w:sz w:val="24"/>
                <w:szCs w:val="24"/>
              </w:rPr>
              <w:t>杆明卓电源</w:t>
            </w:r>
          </w:p>
        </w:tc>
        <w:tc>
          <w:tcPr>
            <w:tcW w:w="1701" w:type="dxa"/>
            <w:vAlign w:val="center"/>
          </w:tcPr>
          <w:p w:rsidR="009E0F78" w:rsidRPr="00816CD2" w:rsidRDefault="009E0F78" w:rsidP="00D20E37">
            <w:pPr>
              <w:jc w:val="center"/>
              <w:rPr>
                <w:sz w:val="24"/>
                <w:szCs w:val="24"/>
              </w:rPr>
            </w:pPr>
            <w:r w:rsidRPr="00816CD2">
              <w:rPr>
                <w:sz w:val="24"/>
                <w:szCs w:val="24"/>
              </w:rPr>
              <w:t>1800x300x150</w:t>
            </w:r>
          </w:p>
        </w:tc>
        <w:tc>
          <w:tcPr>
            <w:tcW w:w="708" w:type="dxa"/>
            <w:vAlign w:val="center"/>
          </w:tcPr>
          <w:p w:rsidR="009E0F78" w:rsidRPr="00816CD2" w:rsidRDefault="009E0F78" w:rsidP="00D20E37">
            <w:pPr>
              <w:tabs>
                <w:tab w:val="left" w:pos="438"/>
              </w:tabs>
              <w:jc w:val="center"/>
              <w:rPr>
                <w:sz w:val="24"/>
                <w:szCs w:val="24"/>
              </w:rPr>
            </w:pPr>
            <w:r w:rsidRPr="00816CD2">
              <w:rPr>
                <w:sz w:val="24"/>
                <w:szCs w:val="24"/>
              </w:rPr>
              <w:t>21</w:t>
            </w:r>
          </w:p>
        </w:tc>
        <w:tc>
          <w:tcPr>
            <w:tcW w:w="2177" w:type="dxa"/>
            <w:vMerge w:val="restart"/>
          </w:tcPr>
          <w:p w:rsidR="009E0F78" w:rsidRPr="00816CD2" w:rsidRDefault="009E0F78" w:rsidP="00D20E37">
            <w:pPr>
              <w:rPr>
                <w:sz w:val="24"/>
                <w:szCs w:val="24"/>
              </w:rPr>
            </w:pPr>
            <w:r w:rsidRPr="00816CD2">
              <w:rPr>
                <w:noProof/>
                <w:sz w:val="24"/>
                <w:szCs w:val="24"/>
              </w:rPr>
              <w:drawing>
                <wp:inline distT="0" distB="0" distL="0" distR="0">
                  <wp:extent cx="1253159" cy="1144988"/>
                  <wp:effectExtent l="19050" t="0" r="4141" b="0"/>
                  <wp:docPr id="4" name="图片 1" descr="导视牌2"/>
                  <wp:cNvGraphicFramePr/>
                  <a:graphic xmlns:a="http://schemas.openxmlformats.org/drawingml/2006/main">
                    <a:graphicData uri="http://schemas.openxmlformats.org/drawingml/2006/picture">
                      <pic:pic xmlns:pic="http://schemas.openxmlformats.org/drawingml/2006/picture">
                        <pic:nvPicPr>
                          <pic:cNvPr id="1036" name="图片 2" descr="导视牌2"/>
                          <pic:cNvPicPr>
                            <a:picLocks noChangeAspect="1" noChangeArrowheads="1"/>
                          </pic:cNvPicPr>
                        </pic:nvPicPr>
                        <pic:blipFill>
                          <a:blip r:embed="rId7" cstate="print"/>
                          <a:srcRect/>
                          <a:stretch>
                            <a:fillRect/>
                          </a:stretch>
                        </pic:blipFill>
                        <pic:spPr bwMode="auto">
                          <a:xfrm>
                            <a:off x="0" y="0"/>
                            <a:ext cx="1267302" cy="1157910"/>
                          </a:xfrm>
                          <a:prstGeom prst="rect">
                            <a:avLst/>
                          </a:prstGeom>
                          <a:noFill/>
                          <a:ln w="9525">
                            <a:noFill/>
                            <a:miter lim="800000"/>
                            <a:headEnd/>
                            <a:tailEnd/>
                          </a:ln>
                        </pic:spPr>
                      </pic:pic>
                    </a:graphicData>
                  </a:graphic>
                </wp:inline>
              </w:drawing>
            </w:r>
          </w:p>
        </w:tc>
      </w:tr>
      <w:tr w:rsidR="009E0F78" w:rsidRPr="00816CD2" w:rsidTr="00D20E37">
        <w:trPr>
          <w:trHeight w:val="565"/>
        </w:trPr>
        <w:tc>
          <w:tcPr>
            <w:tcW w:w="709" w:type="dxa"/>
            <w:vAlign w:val="center"/>
          </w:tcPr>
          <w:p w:rsidR="009E0F78" w:rsidRPr="00816CD2" w:rsidRDefault="009E0F78" w:rsidP="00D20E37">
            <w:pPr>
              <w:jc w:val="center"/>
              <w:rPr>
                <w:sz w:val="24"/>
                <w:szCs w:val="24"/>
              </w:rPr>
            </w:pPr>
            <w:r w:rsidRPr="00816CD2">
              <w:rPr>
                <w:rFonts w:hint="eastAsia"/>
                <w:sz w:val="24"/>
                <w:szCs w:val="24"/>
              </w:rPr>
              <w:t>2</w:t>
            </w:r>
          </w:p>
        </w:tc>
        <w:tc>
          <w:tcPr>
            <w:tcW w:w="1276" w:type="dxa"/>
            <w:vMerge/>
          </w:tcPr>
          <w:p w:rsidR="009E0F78" w:rsidRPr="00816CD2" w:rsidRDefault="009E0F78" w:rsidP="00D20E37">
            <w:pPr>
              <w:rPr>
                <w:sz w:val="24"/>
                <w:szCs w:val="24"/>
              </w:rPr>
            </w:pPr>
          </w:p>
        </w:tc>
        <w:tc>
          <w:tcPr>
            <w:tcW w:w="2410" w:type="dxa"/>
            <w:vMerge/>
          </w:tcPr>
          <w:p w:rsidR="009E0F78" w:rsidRPr="00816CD2" w:rsidRDefault="009E0F78" w:rsidP="00D20E37">
            <w:pPr>
              <w:rPr>
                <w:sz w:val="24"/>
                <w:szCs w:val="24"/>
              </w:rPr>
            </w:pPr>
          </w:p>
        </w:tc>
        <w:tc>
          <w:tcPr>
            <w:tcW w:w="1701" w:type="dxa"/>
            <w:vAlign w:val="center"/>
          </w:tcPr>
          <w:p w:rsidR="009E0F78" w:rsidRPr="00816CD2" w:rsidRDefault="009E0F78" w:rsidP="00D20E37">
            <w:pPr>
              <w:jc w:val="center"/>
              <w:rPr>
                <w:sz w:val="24"/>
                <w:szCs w:val="24"/>
              </w:rPr>
            </w:pPr>
            <w:r w:rsidRPr="00816CD2">
              <w:rPr>
                <w:sz w:val="24"/>
                <w:szCs w:val="24"/>
              </w:rPr>
              <w:t>3200x300x150</w:t>
            </w:r>
          </w:p>
        </w:tc>
        <w:tc>
          <w:tcPr>
            <w:tcW w:w="708" w:type="dxa"/>
            <w:vAlign w:val="center"/>
          </w:tcPr>
          <w:p w:rsidR="009E0F78" w:rsidRPr="00EA7672" w:rsidRDefault="009E0F78" w:rsidP="00D20E37">
            <w:pPr>
              <w:jc w:val="center"/>
              <w:rPr>
                <w:rFonts w:ascii="宋体" w:eastAsia="宋体" w:hAnsi="宋体" w:cs="宋体"/>
                <w:sz w:val="24"/>
                <w:szCs w:val="24"/>
              </w:rPr>
            </w:pPr>
            <w:r w:rsidRPr="00816CD2">
              <w:rPr>
                <w:rFonts w:hint="eastAsia"/>
                <w:sz w:val="24"/>
                <w:szCs w:val="24"/>
              </w:rPr>
              <w:t>2</w:t>
            </w:r>
          </w:p>
        </w:tc>
        <w:tc>
          <w:tcPr>
            <w:tcW w:w="2177" w:type="dxa"/>
            <w:vMerge/>
          </w:tcPr>
          <w:p w:rsidR="009E0F78" w:rsidRPr="00816CD2" w:rsidRDefault="009E0F78" w:rsidP="00D20E37">
            <w:pPr>
              <w:rPr>
                <w:sz w:val="24"/>
                <w:szCs w:val="24"/>
              </w:rPr>
            </w:pPr>
          </w:p>
        </w:tc>
      </w:tr>
      <w:tr w:rsidR="009E0F78" w:rsidRPr="00816CD2" w:rsidTr="00D20E37">
        <w:trPr>
          <w:trHeight w:val="631"/>
        </w:trPr>
        <w:tc>
          <w:tcPr>
            <w:tcW w:w="709" w:type="dxa"/>
            <w:vAlign w:val="center"/>
          </w:tcPr>
          <w:p w:rsidR="009E0F78" w:rsidRPr="00816CD2" w:rsidRDefault="009E0F78" w:rsidP="00D20E37">
            <w:pPr>
              <w:jc w:val="center"/>
              <w:rPr>
                <w:sz w:val="24"/>
                <w:szCs w:val="24"/>
              </w:rPr>
            </w:pPr>
            <w:r>
              <w:rPr>
                <w:rFonts w:hint="eastAsia"/>
                <w:sz w:val="24"/>
                <w:szCs w:val="24"/>
              </w:rPr>
              <w:t>3</w:t>
            </w:r>
          </w:p>
        </w:tc>
        <w:tc>
          <w:tcPr>
            <w:tcW w:w="1276" w:type="dxa"/>
            <w:vMerge/>
          </w:tcPr>
          <w:p w:rsidR="009E0F78" w:rsidRPr="00816CD2" w:rsidRDefault="009E0F78" w:rsidP="00D20E37">
            <w:pPr>
              <w:jc w:val="left"/>
              <w:rPr>
                <w:sz w:val="24"/>
                <w:szCs w:val="24"/>
              </w:rPr>
            </w:pPr>
          </w:p>
        </w:tc>
        <w:tc>
          <w:tcPr>
            <w:tcW w:w="2410" w:type="dxa"/>
            <w:vMerge/>
            <w:vAlign w:val="center"/>
          </w:tcPr>
          <w:p w:rsidR="009E0F78" w:rsidRPr="00816CD2" w:rsidRDefault="009E0F78" w:rsidP="00D20E37">
            <w:pPr>
              <w:jc w:val="center"/>
              <w:rPr>
                <w:sz w:val="24"/>
                <w:szCs w:val="24"/>
              </w:rPr>
            </w:pPr>
          </w:p>
        </w:tc>
        <w:tc>
          <w:tcPr>
            <w:tcW w:w="1701" w:type="dxa"/>
            <w:vAlign w:val="center"/>
          </w:tcPr>
          <w:p w:rsidR="009E0F78" w:rsidRPr="00816CD2" w:rsidRDefault="009E0F78" w:rsidP="00D20E37">
            <w:pPr>
              <w:jc w:val="center"/>
              <w:rPr>
                <w:sz w:val="24"/>
                <w:szCs w:val="24"/>
              </w:rPr>
            </w:pPr>
            <w:r w:rsidRPr="00816CD2">
              <w:rPr>
                <w:sz w:val="24"/>
                <w:szCs w:val="24"/>
              </w:rPr>
              <w:t>1</w:t>
            </w:r>
            <w:r>
              <w:rPr>
                <w:rFonts w:hint="eastAsia"/>
                <w:sz w:val="24"/>
                <w:szCs w:val="24"/>
              </w:rPr>
              <w:t>6</w:t>
            </w:r>
            <w:r w:rsidRPr="00816CD2">
              <w:rPr>
                <w:sz w:val="24"/>
                <w:szCs w:val="24"/>
              </w:rPr>
              <w:t>00x300x150</w:t>
            </w:r>
          </w:p>
        </w:tc>
        <w:tc>
          <w:tcPr>
            <w:tcW w:w="708" w:type="dxa"/>
            <w:vAlign w:val="center"/>
          </w:tcPr>
          <w:p w:rsidR="009E0F78" w:rsidRPr="00816CD2" w:rsidRDefault="009E0F78" w:rsidP="00D20E37">
            <w:pPr>
              <w:jc w:val="center"/>
              <w:rPr>
                <w:sz w:val="24"/>
                <w:szCs w:val="24"/>
              </w:rPr>
            </w:pPr>
            <w:r>
              <w:rPr>
                <w:rFonts w:hint="eastAsia"/>
                <w:sz w:val="24"/>
                <w:szCs w:val="24"/>
              </w:rPr>
              <w:t>6</w:t>
            </w:r>
          </w:p>
        </w:tc>
        <w:tc>
          <w:tcPr>
            <w:tcW w:w="2177" w:type="dxa"/>
            <w:vMerge/>
          </w:tcPr>
          <w:p w:rsidR="009E0F78" w:rsidRPr="00816CD2" w:rsidRDefault="009E0F78" w:rsidP="00D20E37">
            <w:pPr>
              <w:rPr>
                <w:sz w:val="24"/>
                <w:szCs w:val="24"/>
              </w:rPr>
            </w:pPr>
          </w:p>
        </w:tc>
      </w:tr>
      <w:tr w:rsidR="009E0F78" w:rsidRPr="00816CD2" w:rsidTr="00D20E37">
        <w:tc>
          <w:tcPr>
            <w:tcW w:w="709" w:type="dxa"/>
            <w:vAlign w:val="center"/>
          </w:tcPr>
          <w:p w:rsidR="009E0F78" w:rsidRPr="00816CD2" w:rsidRDefault="009E0F78" w:rsidP="00D20E37">
            <w:pPr>
              <w:jc w:val="center"/>
              <w:rPr>
                <w:sz w:val="24"/>
                <w:szCs w:val="24"/>
              </w:rPr>
            </w:pPr>
            <w:r>
              <w:rPr>
                <w:rFonts w:hint="eastAsia"/>
                <w:sz w:val="24"/>
                <w:szCs w:val="24"/>
              </w:rPr>
              <w:t>4</w:t>
            </w:r>
          </w:p>
        </w:tc>
        <w:tc>
          <w:tcPr>
            <w:tcW w:w="1276" w:type="dxa"/>
          </w:tcPr>
          <w:p w:rsidR="009E0F78" w:rsidRPr="00816CD2" w:rsidRDefault="009E0F78" w:rsidP="00D20E37">
            <w:pPr>
              <w:jc w:val="left"/>
              <w:rPr>
                <w:sz w:val="24"/>
                <w:szCs w:val="24"/>
              </w:rPr>
            </w:pPr>
            <w:r w:rsidRPr="00816CD2">
              <w:rPr>
                <w:rFonts w:hint="eastAsia"/>
                <w:sz w:val="24"/>
                <w:szCs w:val="24"/>
              </w:rPr>
              <w:t>拆除费</w:t>
            </w:r>
            <w:r w:rsidRPr="00816CD2">
              <w:rPr>
                <w:rFonts w:hint="eastAsia"/>
                <w:sz w:val="24"/>
                <w:szCs w:val="24"/>
              </w:rPr>
              <w:t xml:space="preserve"> </w:t>
            </w:r>
            <w:r w:rsidRPr="00816CD2">
              <w:rPr>
                <w:rFonts w:hint="eastAsia"/>
                <w:sz w:val="24"/>
                <w:szCs w:val="24"/>
              </w:rPr>
              <w:t>安装费</w:t>
            </w:r>
          </w:p>
        </w:tc>
        <w:tc>
          <w:tcPr>
            <w:tcW w:w="2410" w:type="dxa"/>
            <w:vAlign w:val="center"/>
          </w:tcPr>
          <w:p w:rsidR="009E0F78" w:rsidRPr="00816CD2" w:rsidRDefault="009E0F78" w:rsidP="00D20E37">
            <w:pPr>
              <w:jc w:val="center"/>
              <w:rPr>
                <w:sz w:val="24"/>
                <w:szCs w:val="24"/>
              </w:rPr>
            </w:pPr>
          </w:p>
        </w:tc>
        <w:tc>
          <w:tcPr>
            <w:tcW w:w="1701" w:type="dxa"/>
            <w:vAlign w:val="center"/>
          </w:tcPr>
          <w:p w:rsidR="009E0F78" w:rsidRPr="00816CD2" w:rsidRDefault="009E0F78" w:rsidP="00D20E37">
            <w:pPr>
              <w:jc w:val="center"/>
              <w:rPr>
                <w:sz w:val="24"/>
                <w:szCs w:val="24"/>
              </w:rPr>
            </w:pPr>
          </w:p>
        </w:tc>
        <w:tc>
          <w:tcPr>
            <w:tcW w:w="708" w:type="dxa"/>
            <w:vAlign w:val="center"/>
          </w:tcPr>
          <w:p w:rsidR="009E0F78" w:rsidRPr="00816CD2" w:rsidRDefault="009E0F78" w:rsidP="00D20E37">
            <w:pPr>
              <w:jc w:val="center"/>
              <w:rPr>
                <w:sz w:val="24"/>
                <w:szCs w:val="24"/>
              </w:rPr>
            </w:pPr>
            <w:r w:rsidRPr="00816CD2">
              <w:rPr>
                <w:rFonts w:hint="eastAsia"/>
                <w:sz w:val="24"/>
                <w:szCs w:val="24"/>
              </w:rPr>
              <w:t>一项</w:t>
            </w:r>
          </w:p>
        </w:tc>
        <w:tc>
          <w:tcPr>
            <w:tcW w:w="2177" w:type="dxa"/>
          </w:tcPr>
          <w:p w:rsidR="009E0F78" w:rsidRPr="00816CD2" w:rsidRDefault="009E0F78" w:rsidP="00D20E37">
            <w:pPr>
              <w:rPr>
                <w:sz w:val="24"/>
                <w:szCs w:val="24"/>
              </w:rPr>
            </w:pPr>
          </w:p>
        </w:tc>
      </w:tr>
    </w:tbl>
    <w:p w:rsidR="00172C57" w:rsidRDefault="00172C57"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C41D7B">
            <w:pPr>
              <w:rPr>
                <w:rFonts w:ascii="宋体" w:hAnsi="宋体"/>
              </w:rPr>
            </w:pPr>
            <w:r>
              <w:rPr>
                <w:rFonts w:ascii="宋体" w:hAnsi="宋体" w:hint="eastAsia"/>
              </w:rPr>
              <w:t>根据供应商实力（专业制作能力、服务能力）等进行综合评议，最高得1</w:t>
            </w:r>
            <w:r w:rsidR="00C41D7B">
              <w:rPr>
                <w:rFonts w:ascii="宋体" w:hAnsi="宋体" w:hint="eastAsia"/>
              </w:rPr>
              <w:t>0</w:t>
            </w:r>
            <w:r>
              <w:rPr>
                <w:rFonts w:ascii="宋体" w:hAnsi="宋体" w:hint="eastAsia"/>
              </w:rPr>
              <w:t>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C41D7B">
            <w:pPr>
              <w:rPr>
                <w:rFonts w:ascii="宋体" w:hAnsi="宋体"/>
              </w:rPr>
            </w:pPr>
            <w:r>
              <w:rPr>
                <w:rFonts w:ascii="宋体" w:hAnsi="宋体" w:hint="eastAsia"/>
              </w:rPr>
              <w:t>202</w:t>
            </w:r>
            <w:r w:rsidR="00C41D7B">
              <w:rPr>
                <w:rFonts w:ascii="宋体" w:hAnsi="宋体" w:hint="eastAsia"/>
              </w:rPr>
              <w:t>1</w:t>
            </w:r>
            <w:r>
              <w:rPr>
                <w:rFonts w:ascii="宋体" w:hAnsi="宋体" w:hint="eastAsia"/>
              </w:rPr>
              <w:t>年1月以来供应商承接过的同类项目业绩，每个项目得1分；最高得5分。（投标文件须附加盖公章的合同复印件或费用清单复印件，原件备查）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C41D7B" w:rsidP="00C41D7B">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综合评分，最高得25分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467458">
            <w:pPr>
              <w:rPr>
                <w:rFonts w:ascii="宋体" w:hAnsi="宋体"/>
              </w:rPr>
            </w:pPr>
            <w:r>
              <w:rPr>
                <w:rFonts w:ascii="宋体" w:hAnsi="宋体" w:hint="eastAsia"/>
              </w:rPr>
              <w:t>根据拟投入该项目人员配备、资质综合评分，最高得</w:t>
            </w:r>
            <w:r w:rsidR="00467458">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C41D7B" w:rsidP="00EC7D8E">
            <w:pPr>
              <w:rPr>
                <w:rFonts w:ascii="宋体" w:hAnsi="宋体"/>
              </w:rPr>
            </w:pPr>
            <w:r>
              <w:rPr>
                <w:rFonts w:ascii="宋体" w:hAnsi="宋体" w:hint="eastAsia"/>
              </w:rPr>
              <w:t>根据供应商提供的材质</w:t>
            </w:r>
            <w:r w:rsidR="00EC7D8E">
              <w:rPr>
                <w:rFonts w:ascii="宋体" w:hAnsi="宋体" w:hint="eastAsia"/>
              </w:rPr>
              <w:t>质量</w:t>
            </w:r>
            <w:r w:rsidR="003603F4">
              <w:rPr>
                <w:rFonts w:ascii="宋体" w:hAnsi="宋体" w:hint="eastAsia"/>
              </w:rPr>
              <w:t>综合评分，最高得</w:t>
            </w:r>
            <w:r w:rsidR="00467458">
              <w:rPr>
                <w:rFonts w:ascii="宋体" w:hAnsi="宋体" w:hint="eastAsia"/>
              </w:rPr>
              <w:t>7</w:t>
            </w:r>
            <w:r w:rsidR="003603F4">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C41D7B">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w:t>
            </w:r>
            <w:r w:rsidR="00C41D7B">
              <w:rPr>
                <w:rFonts w:ascii="宋体" w:hAnsi="宋体" w:hint="eastAsia"/>
              </w:rPr>
              <w:t>15</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32683"/>
    <w:rsid w:val="000917D4"/>
    <w:rsid w:val="000B1F0B"/>
    <w:rsid w:val="000B6F0B"/>
    <w:rsid w:val="000E2235"/>
    <w:rsid w:val="00137E86"/>
    <w:rsid w:val="00142390"/>
    <w:rsid w:val="00142419"/>
    <w:rsid w:val="001502FE"/>
    <w:rsid w:val="00172C57"/>
    <w:rsid w:val="001A001E"/>
    <w:rsid w:val="001A7F4B"/>
    <w:rsid w:val="001C79B9"/>
    <w:rsid w:val="00202123"/>
    <w:rsid w:val="00212290"/>
    <w:rsid w:val="00216141"/>
    <w:rsid w:val="00231990"/>
    <w:rsid w:val="00235CA4"/>
    <w:rsid w:val="00250934"/>
    <w:rsid w:val="00257B96"/>
    <w:rsid w:val="00260762"/>
    <w:rsid w:val="002E1B35"/>
    <w:rsid w:val="00313529"/>
    <w:rsid w:val="00327B4D"/>
    <w:rsid w:val="003603F4"/>
    <w:rsid w:val="00380ED1"/>
    <w:rsid w:val="00396348"/>
    <w:rsid w:val="003C7C1F"/>
    <w:rsid w:val="00422FF3"/>
    <w:rsid w:val="0043315B"/>
    <w:rsid w:val="00467458"/>
    <w:rsid w:val="00485792"/>
    <w:rsid w:val="004A1730"/>
    <w:rsid w:val="004A5626"/>
    <w:rsid w:val="004C75F7"/>
    <w:rsid w:val="004D3E13"/>
    <w:rsid w:val="004D625C"/>
    <w:rsid w:val="00531E4E"/>
    <w:rsid w:val="00553E58"/>
    <w:rsid w:val="00576E89"/>
    <w:rsid w:val="005958E6"/>
    <w:rsid w:val="005C1941"/>
    <w:rsid w:val="005D4599"/>
    <w:rsid w:val="005F2C37"/>
    <w:rsid w:val="00612289"/>
    <w:rsid w:val="00613CF5"/>
    <w:rsid w:val="00666343"/>
    <w:rsid w:val="006B4383"/>
    <w:rsid w:val="006B7688"/>
    <w:rsid w:val="006E2713"/>
    <w:rsid w:val="006E731B"/>
    <w:rsid w:val="007275D2"/>
    <w:rsid w:val="007433FF"/>
    <w:rsid w:val="007530AA"/>
    <w:rsid w:val="0076223D"/>
    <w:rsid w:val="007D7262"/>
    <w:rsid w:val="00805B3A"/>
    <w:rsid w:val="00847B42"/>
    <w:rsid w:val="008D315F"/>
    <w:rsid w:val="008E7FF8"/>
    <w:rsid w:val="008F1CE9"/>
    <w:rsid w:val="008F2A99"/>
    <w:rsid w:val="00906CD7"/>
    <w:rsid w:val="00920B03"/>
    <w:rsid w:val="00981320"/>
    <w:rsid w:val="00991C30"/>
    <w:rsid w:val="00994C95"/>
    <w:rsid w:val="009E0F78"/>
    <w:rsid w:val="009F1EDA"/>
    <w:rsid w:val="00A41702"/>
    <w:rsid w:val="00A75127"/>
    <w:rsid w:val="00A96122"/>
    <w:rsid w:val="00AC37A3"/>
    <w:rsid w:val="00B03BE1"/>
    <w:rsid w:val="00B408EF"/>
    <w:rsid w:val="00B430A8"/>
    <w:rsid w:val="00B759BD"/>
    <w:rsid w:val="00B93821"/>
    <w:rsid w:val="00BD6045"/>
    <w:rsid w:val="00C14325"/>
    <w:rsid w:val="00C273DD"/>
    <w:rsid w:val="00C34877"/>
    <w:rsid w:val="00C3594C"/>
    <w:rsid w:val="00C41D7B"/>
    <w:rsid w:val="00C6664E"/>
    <w:rsid w:val="00C72B6A"/>
    <w:rsid w:val="00CA367F"/>
    <w:rsid w:val="00CA4202"/>
    <w:rsid w:val="00CC69DE"/>
    <w:rsid w:val="00CD076F"/>
    <w:rsid w:val="00CF7EE0"/>
    <w:rsid w:val="00D42D27"/>
    <w:rsid w:val="00D76B7B"/>
    <w:rsid w:val="00D83550"/>
    <w:rsid w:val="00D87DDE"/>
    <w:rsid w:val="00D94C42"/>
    <w:rsid w:val="00DC7121"/>
    <w:rsid w:val="00E01505"/>
    <w:rsid w:val="00E148CF"/>
    <w:rsid w:val="00E356B0"/>
    <w:rsid w:val="00E50222"/>
    <w:rsid w:val="00E6033F"/>
    <w:rsid w:val="00E8595F"/>
    <w:rsid w:val="00EC2A1D"/>
    <w:rsid w:val="00EC7D8E"/>
    <w:rsid w:val="00F138A9"/>
    <w:rsid w:val="00FB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3</Pages>
  <Words>213</Words>
  <Characters>1216</Characters>
  <Application>Microsoft Office Word</Application>
  <DocSecurity>0</DocSecurity>
  <Lines>10</Lines>
  <Paragraphs>2</Paragraphs>
  <ScaleCrop>false</ScaleCrop>
  <Company>Microsoft</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42</cp:revision>
  <dcterms:created xsi:type="dcterms:W3CDTF">2020-06-05T08:33:00Z</dcterms:created>
  <dcterms:modified xsi:type="dcterms:W3CDTF">2024-03-07T08:09:00Z</dcterms:modified>
</cp:coreProperties>
</file>