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Default="00CB2771" w:rsidP="00A95063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温湿度监</w:t>
      </w:r>
      <w:r w:rsidR="00A95063" w:rsidRPr="00A95063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控管理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项目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院内议标公告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Pr="00927F07" w:rsidRDefault="00CB2771" w:rsidP="00655869">
      <w:pPr>
        <w:widowControl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一、议标品目：</w:t>
      </w:r>
    </w:p>
    <w:tbl>
      <w:tblPr>
        <w:tblStyle w:val="a7"/>
        <w:tblW w:w="8222" w:type="dxa"/>
        <w:tblInd w:w="108" w:type="dxa"/>
        <w:tblLook w:val="04A0"/>
      </w:tblPr>
      <w:tblGrid>
        <w:gridCol w:w="709"/>
        <w:gridCol w:w="2693"/>
        <w:gridCol w:w="1276"/>
        <w:gridCol w:w="1985"/>
        <w:gridCol w:w="1559"/>
      </w:tblGrid>
      <w:tr w:rsidR="00CC58A3" w:rsidRPr="00927F07" w:rsidTr="00904EFC">
        <w:tc>
          <w:tcPr>
            <w:tcW w:w="709" w:type="dxa"/>
          </w:tcPr>
          <w:p w:rsidR="00CC58A3" w:rsidRPr="00927F07" w:rsidRDefault="00CB2771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693" w:type="dxa"/>
          </w:tcPr>
          <w:p w:rsidR="00CC58A3" w:rsidRPr="00927F07" w:rsidRDefault="00CB2771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76" w:type="dxa"/>
          </w:tcPr>
          <w:p w:rsidR="00CC58A3" w:rsidRPr="00927F07" w:rsidRDefault="00CB2771" w:rsidP="00A9506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数量</w:t>
            </w:r>
          </w:p>
        </w:tc>
        <w:tc>
          <w:tcPr>
            <w:tcW w:w="1985" w:type="dxa"/>
          </w:tcPr>
          <w:p w:rsidR="00CC58A3" w:rsidRPr="00927F07" w:rsidRDefault="00A95063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监控点位</w:t>
            </w:r>
          </w:p>
        </w:tc>
        <w:tc>
          <w:tcPr>
            <w:tcW w:w="1559" w:type="dxa"/>
          </w:tcPr>
          <w:p w:rsidR="00CC58A3" w:rsidRPr="00927F07" w:rsidRDefault="00CB2771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最高限价</w:t>
            </w:r>
          </w:p>
          <w:p w:rsidR="00CC58A3" w:rsidRPr="00927F07" w:rsidRDefault="00CC58A3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</w:tr>
      <w:tr w:rsidR="00CC58A3" w:rsidRPr="00927F07" w:rsidTr="00904EFC">
        <w:tc>
          <w:tcPr>
            <w:tcW w:w="709" w:type="dxa"/>
            <w:vAlign w:val="center"/>
          </w:tcPr>
          <w:p w:rsidR="00CC58A3" w:rsidRPr="00927F07" w:rsidRDefault="00CC58A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  <w:p w:rsidR="00CC58A3" w:rsidRPr="00927F07" w:rsidRDefault="00CB2771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C58A3" w:rsidRPr="00927F07" w:rsidRDefault="00A95063" w:rsidP="00600D2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温湿度监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控管理</w:t>
            </w: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:rsidR="00CC58A3" w:rsidRPr="00927F07" w:rsidRDefault="00CB277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1项</w:t>
            </w:r>
          </w:p>
        </w:tc>
        <w:tc>
          <w:tcPr>
            <w:tcW w:w="1985" w:type="dxa"/>
            <w:vAlign w:val="center"/>
          </w:tcPr>
          <w:p w:rsidR="00CC58A3" w:rsidRPr="00927F07" w:rsidRDefault="00A95063" w:rsidP="00927F07">
            <w:pPr>
              <w:widowControl/>
              <w:ind w:firstLineChars="150" w:firstLine="360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CC0432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443个</w:t>
            </w:r>
          </w:p>
        </w:tc>
        <w:tc>
          <w:tcPr>
            <w:tcW w:w="1559" w:type="dxa"/>
            <w:vAlign w:val="center"/>
          </w:tcPr>
          <w:p w:rsidR="00CC58A3" w:rsidRPr="00927F07" w:rsidRDefault="00CB2771" w:rsidP="00A9506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10万</w:t>
            </w:r>
            <w:r w:rsidR="00C06DAC"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元</w:t>
            </w:r>
          </w:p>
        </w:tc>
      </w:tr>
    </w:tbl>
    <w:p w:rsidR="00240FDF" w:rsidRPr="00240FDF" w:rsidRDefault="00240FDF" w:rsidP="007E4FB4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240FDF">
        <w:rPr>
          <w:rFonts w:asciiTheme="minorEastAsia" w:hAnsiTheme="minorEastAsia" w:cs="宋体" w:hint="eastAsia"/>
          <w:b/>
          <w:kern w:val="0"/>
          <w:szCs w:val="21"/>
        </w:rPr>
        <w:t>注：本次报价包含项目所需的软硬件、检测、实施、培训、运维等全部费用，最终结算金额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按实际</w:t>
      </w:r>
      <w:r w:rsidR="00CC0432" w:rsidRPr="00CC0432">
        <w:rPr>
          <w:rFonts w:asciiTheme="minorEastAsia" w:hAnsiTheme="minorEastAsia" w:cs="宋体" w:hint="eastAsia"/>
          <w:b/>
          <w:kern w:val="0"/>
          <w:szCs w:val="21"/>
        </w:rPr>
        <w:t>监控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点位数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量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计算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。</w:t>
      </w:r>
    </w:p>
    <w:p w:rsidR="00CC58A3" w:rsidRPr="00927F07" w:rsidRDefault="00CB2771" w:rsidP="007E4FB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二、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项目要求：</w:t>
      </w:r>
    </w:p>
    <w:p w:rsidR="0037660F" w:rsidRPr="00927F07" w:rsidRDefault="00446F74" w:rsidP="007E4FB4">
      <w:pPr>
        <w:spacing w:line="360" w:lineRule="auto"/>
        <w:ind w:left="79" w:hangingChars="33" w:hanging="79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为了保障医院各重点部门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24小时持续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有效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控，予采购医院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控管理服务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项目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，要求供应商提供项目所需的软硬件、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检测、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实施、培训、运维等全部费用，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不得在中标后项目实施过程中要求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增加额外费用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B12EE3" w:rsidRPr="00927F07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功能要求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每个监测点位需显示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采集实时温湿度数据，并实现所有数据在一个系统汇总，可实现远程查看下载数据报表、温湿度曲线图标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实现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系统日常操作日志、报警日志等审计追踪功能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，报警要求有现场提醒功能，并有短信等形式通知相关责任人。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三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、投标要求：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/>
          <w:kern w:val="0"/>
          <w:sz w:val="24"/>
          <w:szCs w:val="21"/>
        </w:rPr>
        <w:t>投标人资格要求：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）具有独立承担民事责任的能力；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（2）具有良好的商业信誉和健全的财务会计制度；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（3）具有履行合同所必需的设备和专业技术能力；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（4）有依法缴纳税收和社会保障资金的良好记录；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）本项目不接受联合体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参与投标应提供以下资料（标书一正三副，正本须加盖红章）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（1）营业执照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及相关资质证明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复印件；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）相关品牌产品代理授权书；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）投标代表的法人授权书及身份证复印件，并带身份证原件；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）产品质量保证书、廉洁承诺书；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）投标一览表及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投标报价表；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同类项目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lastRenderedPageBreak/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）售后服务承诺及培训计划；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）所投的标书应包含但不限于上述资料，装订成册，不接收活页形式或通过夹子成型的标书。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四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、报名事项：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proofErr w:type="gramStart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资格的投标人到宁波大学附属人民医院采购中心（17-2号楼-201室）报名，联系人：蔡老师、肖老师，联系电话：0574-87016979。报名截止时间2023年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24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日1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本次议标定于2023年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24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14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10分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，地点：16号楼1楼114会议室（具体时间地点将以现场报名登记时告知为准）。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我院为无烟医院，文明单位，院区内严禁吸烟，并要求严格做好垃圾分类，请投标人自觉遵守。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五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、评标方法：本次采购采用议标的方式，采用综合评分法，中标结果以宁波大学附属人民医院外网公示、电话通知为准。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六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、商务条款：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交货时间：</w:t>
      </w:r>
      <w:r w:rsidR="00CB2771" w:rsidRPr="00CC0432">
        <w:rPr>
          <w:rFonts w:asciiTheme="minorEastAsia" w:hAnsiTheme="minorEastAsia" w:cs="宋体" w:hint="eastAsia"/>
          <w:kern w:val="0"/>
          <w:sz w:val="24"/>
          <w:szCs w:val="21"/>
        </w:rPr>
        <w:t>中标后30天内。</w:t>
      </w:r>
    </w:p>
    <w:p w:rsidR="00446F74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2、服务期限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：合同签订日起一年，合同期满根据服务质量及院方需求决定是否续签合同，总服务期不超过三年。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付款方式：项目验收合格后3个月内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支付</w:t>
      </w:r>
      <w:r w:rsidR="00982A6A">
        <w:rPr>
          <w:rFonts w:asciiTheme="minorEastAsia" w:hAnsiTheme="minorEastAsia" w:cs="宋体" w:hint="eastAsia"/>
          <w:kern w:val="0"/>
          <w:sz w:val="24"/>
          <w:szCs w:val="21"/>
        </w:rPr>
        <w:t>合同款的95%，合同期满后一月内付清余款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宁波大学附属人民医院</w:t>
      </w: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2023年</w:t>
      </w:r>
      <w:r w:rsidR="00446F7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446F74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CC0432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CC58A3" w:rsidRPr="00446F74" w:rsidRDefault="00CC58A3" w:rsidP="00446F74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Default="00CB2771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CC58A3" w:rsidRPr="00475DDB" w:rsidRDefault="003D45B1" w:rsidP="003415FC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475DD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近3年（2020年1月起）供应商承接过的同类项目业绩，每个项目得1分；最高得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3D45B1" w:rsidRPr="00804843" w:rsidRDefault="002D1787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</w:t>
            </w:r>
            <w:r w:rsidR="003D45B1">
              <w:rPr>
                <w:rFonts w:ascii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</w:t>
            </w:r>
            <w:r w:rsidR="002D178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Pr="00804843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</w:t>
            </w:r>
            <w:r w:rsidR="002D1787">
              <w:rPr>
                <w:rFonts w:asciiTheme="minorEastAsia" w:hAnsiTheme="minorEastAsia" w:hint="eastAsia"/>
              </w:rPr>
              <w:t>功能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</w:t>
            </w:r>
            <w:r w:rsidR="002D1787" w:rsidRPr="00804843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根据供应商对本项目的实施方案设计的完整性、、先进性、合理</w:t>
            </w:r>
            <w:r w:rsidR="002D1787">
              <w:rPr>
                <w:rFonts w:asciiTheme="minorEastAsia" w:hAnsiTheme="minorEastAsia" w:hint="eastAsia"/>
              </w:rPr>
              <w:t>性，工作时间进度计划、工作程序和步骤、质量管理和保障措施可行性</w:t>
            </w:r>
            <w:r w:rsidRPr="00804843">
              <w:rPr>
                <w:rFonts w:asciiTheme="minorEastAsia" w:hAnsiTheme="minorEastAsia" w:hint="eastAsia"/>
              </w:rPr>
              <w:t>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根据各投标人的服务承诺方案（包括详细的售后服务方案、</w:t>
            </w:r>
            <w:r w:rsidR="002D1787">
              <w:rPr>
                <w:rFonts w:asciiTheme="minorEastAsia" w:hAnsiTheme="minorEastAsia" w:hint="eastAsia"/>
              </w:rPr>
              <w:t>应急响应时间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1" w:rsidRDefault="00340841" w:rsidP="00340841">
      <w:r>
        <w:separator/>
      </w:r>
    </w:p>
  </w:endnote>
  <w:endnote w:type="continuationSeparator" w:id="1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1" w:rsidRDefault="00340841" w:rsidP="00340841">
      <w:r>
        <w:separator/>
      </w:r>
    </w:p>
  </w:footnote>
  <w:footnote w:type="continuationSeparator" w:id="1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B6E80"/>
    <w:rsid w:val="001031FE"/>
    <w:rsid w:val="00165620"/>
    <w:rsid w:val="00240FDF"/>
    <w:rsid w:val="002D1787"/>
    <w:rsid w:val="00340841"/>
    <w:rsid w:val="003415FC"/>
    <w:rsid w:val="0037660F"/>
    <w:rsid w:val="003D45B1"/>
    <w:rsid w:val="00435280"/>
    <w:rsid w:val="00446F74"/>
    <w:rsid w:val="004533BE"/>
    <w:rsid w:val="00462E30"/>
    <w:rsid w:val="00475DDB"/>
    <w:rsid w:val="00520E40"/>
    <w:rsid w:val="00522595"/>
    <w:rsid w:val="005928FA"/>
    <w:rsid w:val="00600D27"/>
    <w:rsid w:val="00627A9A"/>
    <w:rsid w:val="00655869"/>
    <w:rsid w:val="006D0682"/>
    <w:rsid w:val="007E4FB4"/>
    <w:rsid w:val="00820263"/>
    <w:rsid w:val="00885CCF"/>
    <w:rsid w:val="00904EFC"/>
    <w:rsid w:val="00927F07"/>
    <w:rsid w:val="009467C0"/>
    <w:rsid w:val="00982A6A"/>
    <w:rsid w:val="00986E52"/>
    <w:rsid w:val="009F5649"/>
    <w:rsid w:val="00A64882"/>
    <w:rsid w:val="00A67719"/>
    <w:rsid w:val="00A95063"/>
    <w:rsid w:val="00B12EE3"/>
    <w:rsid w:val="00B17179"/>
    <w:rsid w:val="00C06DAC"/>
    <w:rsid w:val="00C100CB"/>
    <w:rsid w:val="00C13BBA"/>
    <w:rsid w:val="00C15ED0"/>
    <w:rsid w:val="00C31138"/>
    <w:rsid w:val="00C41C73"/>
    <w:rsid w:val="00C463F0"/>
    <w:rsid w:val="00CB2771"/>
    <w:rsid w:val="00CC0432"/>
    <w:rsid w:val="00CC58A3"/>
    <w:rsid w:val="00CC7C2A"/>
    <w:rsid w:val="00CF5126"/>
    <w:rsid w:val="00DF28C5"/>
    <w:rsid w:val="00E57B0D"/>
    <w:rsid w:val="00E86BA6"/>
    <w:rsid w:val="00EA3641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80FD-6DAC-4F8A-A8B8-6CFE3A6C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2023-02-21T04:26:00Z</dcterms:created>
  <dcterms:modified xsi:type="dcterms:W3CDTF">2023-07-19T00:27:00Z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