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7204C4" w:rsidRPr="007204C4">
        <w:rPr>
          <w:rFonts w:hint="eastAsia"/>
          <w:b/>
          <w:sz w:val="30"/>
          <w:szCs w:val="30"/>
        </w:rPr>
        <w:t>等离子电</w:t>
      </w:r>
      <w:proofErr w:type="gramStart"/>
      <w:r w:rsidR="007204C4" w:rsidRPr="007204C4">
        <w:rPr>
          <w:rFonts w:hint="eastAsia"/>
          <w:b/>
          <w:sz w:val="30"/>
          <w:szCs w:val="30"/>
        </w:rPr>
        <w:t>切系统</w:t>
      </w:r>
      <w:proofErr w:type="gramEnd"/>
      <w:r w:rsidR="003F44F3">
        <w:rPr>
          <w:rFonts w:hint="eastAsia"/>
          <w:b/>
          <w:sz w:val="30"/>
          <w:szCs w:val="30"/>
        </w:rPr>
        <w:t>等</w:t>
      </w:r>
      <w:r w:rsidR="00272502">
        <w:rPr>
          <w:rFonts w:hint="eastAsia"/>
          <w:b/>
          <w:sz w:val="30"/>
          <w:szCs w:val="30"/>
        </w:rPr>
        <w:t>市场调研及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822"/>
        <w:gridCol w:w="3261"/>
        <w:gridCol w:w="2268"/>
        <w:gridCol w:w="1701"/>
      </w:tblGrid>
      <w:tr w:rsidR="004613F6" w:rsidRPr="00201A0C" w:rsidTr="00F53357">
        <w:tc>
          <w:tcPr>
            <w:tcW w:w="822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261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7204C4" w:rsidRPr="00201A0C" w:rsidTr="00F53357">
        <w:tc>
          <w:tcPr>
            <w:tcW w:w="822" w:type="dxa"/>
          </w:tcPr>
          <w:p w:rsidR="007204C4" w:rsidRDefault="007204C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204C4" w:rsidRDefault="007204C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等离子电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切系统</w:t>
            </w:r>
            <w:proofErr w:type="gramEnd"/>
          </w:p>
        </w:tc>
        <w:tc>
          <w:tcPr>
            <w:tcW w:w="2268" w:type="dxa"/>
          </w:tcPr>
          <w:p w:rsidR="007204C4" w:rsidRDefault="007204C4" w:rsidP="000D3C19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2套（市场调研）</w:t>
            </w:r>
          </w:p>
        </w:tc>
        <w:tc>
          <w:tcPr>
            <w:tcW w:w="1701" w:type="dxa"/>
          </w:tcPr>
          <w:p w:rsidR="007204C4" w:rsidRDefault="007204C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90万元</w:t>
            </w:r>
          </w:p>
        </w:tc>
      </w:tr>
      <w:tr w:rsidR="004613F6" w:rsidRPr="00201A0C" w:rsidTr="00F53357">
        <w:tc>
          <w:tcPr>
            <w:tcW w:w="822" w:type="dxa"/>
          </w:tcPr>
          <w:p w:rsidR="004613F6" w:rsidRDefault="000E304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613F6" w:rsidRPr="00BE30B9" w:rsidRDefault="00B92679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康复训练车</w:t>
            </w:r>
          </w:p>
        </w:tc>
        <w:tc>
          <w:tcPr>
            <w:tcW w:w="2268" w:type="dxa"/>
          </w:tcPr>
          <w:p w:rsidR="004613F6" w:rsidRDefault="004613F6" w:rsidP="00D14D08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701" w:type="dxa"/>
          </w:tcPr>
          <w:p w:rsidR="004613F6" w:rsidRDefault="00D14D0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5万元</w:t>
            </w:r>
          </w:p>
        </w:tc>
      </w:tr>
      <w:tr w:rsidR="004613F6" w:rsidRPr="00201A0C" w:rsidTr="00F53357">
        <w:tc>
          <w:tcPr>
            <w:tcW w:w="822" w:type="dxa"/>
          </w:tcPr>
          <w:p w:rsidR="004613F6" w:rsidRDefault="000E304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613F6" w:rsidRDefault="00B92679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ICU使用床</w:t>
            </w:r>
            <w:r w:rsidR="00F53357">
              <w:rPr>
                <w:rFonts w:asciiTheme="minorEastAsia" w:hAnsiTheme="minorEastAsia" w:hint="eastAsia"/>
                <w:sz w:val="24"/>
                <w:szCs w:val="24"/>
              </w:rPr>
              <w:t>（包含褥疮床垫）</w:t>
            </w:r>
          </w:p>
        </w:tc>
        <w:tc>
          <w:tcPr>
            <w:tcW w:w="2268" w:type="dxa"/>
          </w:tcPr>
          <w:p w:rsidR="004613F6" w:rsidRDefault="00B92679" w:rsidP="00F53357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26张</w:t>
            </w:r>
          </w:p>
        </w:tc>
        <w:tc>
          <w:tcPr>
            <w:tcW w:w="1701" w:type="dxa"/>
          </w:tcPr>
          <w:p w:rsidR="00BD7AF7" w:rsidRDefault="0027250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  <w:r w:rsidR="00B92679">
              <w:rPr>
                <w:rFonts w:asciiTheme="minorEastAsia" w:hAnsiTheme="minorEastAsia" w:hint="eastAsia"/>
                <w:sz w:val="24"/>
                <w:szCs w:val="24"/>
              </w:rPr>
              <w:t>.8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0E3048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15分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 w:rsidRPr="0043548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0E3048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15分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0E304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0E3048">
        <w:rPr>
          <w:rFonts w:asciiTheme="minorEastAsia" w:hAnsiTheme="minorEastAsia" w:cs="宋体" w:hint="eastAsia"/>
          <w:b/>
          <w:kern w:val="0"/>
          <w:sz w:val="18"/>
          <w:szCs w:val="18"/>
        </w:rPr>
        <w:t>2</w:t>
      </w:r>
      <w:r w:rsidR="00D14D08">
        <w:rPr>
          <w:rFonts w:asciiTheme="minorEastAsia" w:hAnsiTheme="minorEastAsia" w:cs="宋体" w:hint="eastAsia"/>
          <w:b/>
          <w:kern w:val="0"/>
          <w:sz w:val="18"/>
          <w:szCs w:val="18"/>
        </w:rPr>
        <w:t>、</w:t>
      </w:r>
      <w:r w:rsidR="000E3048">
        <w:rPr>
          <w:rFonts w:asciiTheme="minorEastAsia" w:hAnsiTheme="minorEastAsia" w:cs="宋体" w:hint="eastAsia"/>
          <w:b/>
          <w:kern w:val="0"/>
          <w:sz w:val="18"/>
          <w:szCs w:val="18"/>
        </w:rPr>
        <w:t>3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B4243"/>
    <w:rsid w:val="000C3217"/>
    <w:rsid w:val="000D0739"/>
    <w:rsid w:val="000D3C19"/>
    <w:rsid w:val="000D71E9"/>
    <w:rsid w:val="000E3048"/>
    <w:rsid w:val="000F34B4"/>
    <w:rsid w:val="00102CD2"/>
    <w:rsid w:val="00120A41"/>
    <w:rsid w:val="0014691B"/>
    <w:rsid w:val="0016352E"/>
    <w:rsid w:val="00180E7C"/>
    <w:rsid w:val="00183FE2"/>
    <w:rsid w:val="00195040"/>
    <w:rsid w:val="001A7115"/>
    <w:rsid w:val="001B697F"/>
    <w:rsid w:val="001B71E0"/>
    <w:rsid w:val="001E2D05"/>
    <w:rsid w:val="00201A0C"/>
    <w:rsid w:val="00272502"/>
    <w:rsid w:val="002733A2"/>
    <w:rsid w:val="00284CC9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A2A0C"/>
    <w:rsid w:val="004E143E"/>
    <w:rsid w:val="004F3C9B"/>
    <w:rsid w:val="004F422B"/>
    <w:rsid w:val="005017F8"/>
    <w:rsid w:val="00593DAC"/>
    <w:rsid w:val="00594565"/>
    <w:rsid w:val="005C434B"/>
    <w:rsid w:val="005E37B0"/>
    <w:rsid w:val="006149F3"/>
    <w:rsid w:val="0062039A"/>
    <w:rsid w:val="00640101"/>
    <w:rsid w:val="00663E88"/>
    <w:rsid w:val="006643E6"/>
    <w:rsid w:val="00682E75"/>
    <w:rsid w:val="006978D0"/>
    <w:rsid w:val="006A48EE"/>
    <w:rsid w:val="006C70CF"/>
    <w:rsid w:val="006F47E7"/>
    <w:rsid w:val="006F5E60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573FB"/>
    <w:rsid w:val="00865DE8"/>
    <w:rsid w:val="00871DA5"/>
    <w:rsid w:val="008777C4"/>
    <w:rsid w:val="00885381"/>
    <w:rsid w:val="008D0D20"/>
    <w:rsid w:val="008D4A9F"/>
    <w:rsid w:val="009763D9"/>
    <w:rsid w:val="00987CA8"/>
    <w:rsid w:val="009A6320"/>
    <w:rsid w:val="009C43AE"/>
    <w:rsid w:val="009C573A"/>
    <w:rsid w:val="009D4ED1"/>
    <w:rsid w:val="00A20482"/>
    <w:rsid w:val="00A403CA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6424"/>
    <w:rsid w:val="00E5125F"/>
    <w:rsid w:val="00E73786"/>
    <w:rsid w:val="00E8778B"/>
    <w:rsid w:val="00EA6663"/>
    <w:rsid w:val="00EB3716"/>
    <w:rsid w:val="00EE4F0A"/>
    <w:rsid w:val="00EF0B76"/>
    <w:rsid w:val="00F159FD"/>
    <w:rsid w:val="00F52097"/>
    <w:rsid w:val="00F53357"/>
    <w:rsid w:val="00F76850"/>
    <w:rsid w:val="00F93D35"/>
    <w:rsid w:val="00FA00D1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27</cp:revision>
  <dcterms:created xsi:type="dcterms:W3CDTF">2022-03-10T04:15:00Z</dcterms:created>
  <dcterms:modified xsi:type="dcterms:W3CDTF">2023-03-21T08:05:00Z</dcterms:modified>
</cp:coreProperties>
</file>