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41237C" w:rsidRDefault="001C001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视频监控系统存储</w:t>
      </w:r>
      <w:r w:rsidR="002E33F4">
        <w:rPr>
          <w:rFonts w:hint="eastAsia"/>
          <w:b/>
          <w:sz w:val="32"/>
          <w:szCs w:val="32"/>
        </w:rPr>
        <w:t>升级改造项目院内议标公告</w:t>
      </w:r>
    </w:p>
    <w:p w:rsidR="0041237C" w:rsidRDefault="002E33F4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41237C">
        <w:trPr>
          <w:jc w:val="center"/>
        </w:trPr>
        <w:tc>
          <w:tcPr>
            <w:tcW w:w="817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41237C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41237C" w:rsidRPr="001C0014" w:rsidRDefault="001C0014">
            <w:pPr>
              <w:spacing w:line="580" w:lineRule="exact"/>
              <w:jc w:val="center"/>
              <w:outlineLvl w:val="1"/>
              <w:rPr>
                <w:rFonts w:asciiTheme="minorEastAsia" w:hAnsiTheme="minorEastAsia"/>
              </w:rPr>
            </w:pPr>
            <w:r w:rsidRPr="001C0014">
              <w:rPr>
                <w:rFonts w:asciiTheme="minorEastAsia" w:hAnsiTheme="minorEastAsia" w:hint="eastAsia"/>
              </w:rPr>
              <w:t>视频监控</w:t>
            </w:r>
            <w:r>
              <w:rPr>
                <w:rFonts w:asciiTheme="minorEastAsia" w:hAnsiTheme="minorEastAsia" w:hint="eastAsia"/>
              </w:rPr>
              <w:t>系统</w:t>
            </w:r>
            <w:r w:rsidRPr="001C0014">
              <w:rPr>
                <w:rFonts w:asciiTheme="minorEastAsia" w:hAnsiTheme="minorEastAsia" w:hint="eastAsia"/>
              </w:rPr>
              <w:t>存储升级改造项目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1237C" w:rsidRDefault="002E33F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1237C" w:rsidRDefault="001C001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r w:rsidR="002E33F4">
              <w:rPr>
                <w:rFonts w:ascii="宋体" w:hAnsi="宋体" w:hint="eastAsia"/>
              </w:rPr>
              <w:t>万元</w:t>
            </w:r>
          </w:p>
        </w:tc>
      </w:tr>
    </w:tbl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41237C" w:rsidRDefault="00E748FD" w:rsidP="00E748FD">
      <w:pPr>
        <w:spacing w:line="48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医院</w:t>
      </w:r>
      <w:proofErr w:type="gramStart"/>
      <w:r w:rsidR="008A0B4C">
        <w:rPr>
          <w:rFonts w:asciiTheme="minorEastAsia" w:hAnsiTheme="minorEastAsia" w:hint="eastAsia"/>
        </w:rPr>
        <w:t>现数字</w:t>
      </w:r>
      <w:proofErr w:type="gramEnd"/>
      <w:r w:rsidRPr="00E748FD">
        <w:rPr>
          <w:rFonts w:asciiTheme="minorEastAsia" w:hAnsiTheme="minorEastAsia" w:hint="eastAsia"/>
        </w:rPr>
        <w:t>视频监控系统于2</w:t>
      </w:r>
      <w:r w:rsidRPr="00E748FD">
        <w:rPr>
          <w:rFonts w:asciiTheme="minorEastAsia" w:hAnsiTheme="minorEastAsia"/>
        </w:rPr>
        <w:t>016</w:t>
      </w:r>
      <w:r w:rsidRPr="00E748FD">
        <w:rPr>
          <w:rFonts w:asciiTheme="minorEastAsia" w:hAnsiTheme="minorEastAsia" w:hint="eastAsia"/>
        </w:rPr>
        <w:t>年</w:t>
      </w:r>
      <w:r w:rsidR="008A0B4C">
        <w:rPr>
          <w:rFonts w:asciiTheme="minorEastAsia" w:hAnsiTheme="minorEastAsia" w:hint="eastAsia"/>
        </w:rPr>
        <w:t>改造完成</w:t>
      </w:r>
      <w:r w:rsidRPr="00E748FD">
        <w:rPr>
          <w:rFonts w:asciiTheme="minorEastAsia" w:hAnsiTheme="minorEastAsia" w:hint="eastAsia"/>
        </w:rPr>
        <w:t>，</w:t>
      </w:r>
      <w:r w:rsidR="008A0B4C">
        <w:rPr>
          <w:rFonts w:asciiTheme="minorEastAsia" w:hAnsiTheme="minorEastAsia" w:hint="eastAsia"/>
        </w:rPr>
        <w:t>目前</w:t>
      </w:r>
      <w:r w:rsidRPr="00E748FD">
        <w:rPr>
          <w:rFonts w:asciiTheme="minorEastAsia" w:hAnsiTheme="minorEastAsia" w:hint="eastAsia"/>
        </w:rPr>
        <w:t>视频路数共</w:t>
      </w:r>
      <w:r w:rsidRPr="008A0B4C">
        <w:rPr>
          <w:rFonts w:asciiTheme="minorEastAsia" w:hAnsiTheme="minorEastAsia"/>
        </w:rPr>
        <w:t>791</w:t>
      </w:r>
      <w:r w:rsidRPr="00E748FD">
        <w:rPr>
          <w:rFonts w:asciiTheme="minorEastAsia" w:hAnsiTheme="minorEastAsia" w:hint="eastAsia"/>
        </w:rPr>
        <w:t>路，其中</w:t>
      </w:r>
      <w:r w:rsidRPr="008A0B4C">
        <w:rPr>
          <w:rFonts w:asciiTheme="minorEastAsia" w:hAnsiTheme="minorEastAsia" w:hint="eastAsia"/>
        </w:rPr>
        <w:t>2</w:t>
      </w:r>
      <w:r w:rsidRPr="008A0B4C">
        <w:rPr>
          <w:rFonts w:asciiTheme="minorEastAsia" w:hAnsiTheme="minorEastAsia"/>
        </w:rPr>
        <w:t>2</w:t>
      </w:r>
      <w:r w:rsidR="00E767E4" w:rsidRPr="008A0B4C">
        <w:rPr>
          <w:rFonts w:asciiTheme="minorEastAsia" w:hAnsiTheme="minorEastAsia" w:hint="eastAsia"/>
        </w:rPr>
        <w:t>7</w:t>
      </w:r>
      <w:r w:rsidRPr="00E748FD">
        <w:rPr>
          <w:rFonts w:asciiTheme="minorEastAsia" w:hAnsiTheme="minorEastAsia" w:hint="eastAsia"/>
        </w:rPr>
        <w:t>路视频存在N</w:t>
      </w:r>
      <w:r w:rsidRPr="00E748FD">
        <w:rPr>
          <w:rFonts w:asciiTheme="minorEastAsia" w:hAnsiTheme="minorEastAsia"/>
        </w:rPr>
        <w:t>VR</w:t>
      </w:r>
      <w:r w:rsidRPr="00E748FD">
        <w:rPr>
          <w:rFonts w:asciiTheme="minorEastAsia" w:hAnsiTheme="minorEastAsia" w:hint="eastAsia"/>
        </w:rPr>
        <w:t>设备中作为硬件存储，5</w:t>
      </w:r>
      <w:r w:rsidRPr="00E748FD">
        <w:rPr>
          <w:rFonts w:asciiTheme="minorEastAsia" w:hAnsiTheme="minorEastAsia"/>
        </w:rPr>
        <w:t>64</w:t>
      </w:r>
      <w:r w:rsidRPr="00E748FD">
        <w:rPr>
          <w:rFonts w:asciiTheme="minorEastAsia" w:hAnsiTheme="minorEastAsia" w:hint="eastAsia"/>
        </w:rPr>
        <w:t>路视频分别存在4台C</w:t>
      </w:r>
      <w:r w:rsidRPr="00E748FD">
        <w:rPr>
          <w:rFonts w:asciiTheme="minorEastAsia" w:hAnsiTheme="minorEastAsia"/>
        </w:rPr>
        <w:t>VR</w:t>
      </w:r>
      <w:r w:rsidRPr="00E748FD">
        <w:rPr>
          <w:rFonts w:asciiTheme="minorEastAsia" w:hAnsiTheme="minorEastAsia" w:hint="eastAsia"/>
        </w:rPr>
        <w:t>中，作为中心存储</w:t>
      </w:r>
      <w:r w:rsidR="008A0B4C">
        <w:rPr>
          <w:rFonts w:asciiTheme="minorEastAsia" w:hAnsiTheme="minorEastAsia" w:hint="eastAsia"/>
        </w:rPr>
        <w:t>，视频监控</w:t>
      </w:r>
      <w:r w:rsidRPr="00E748FD">
        <w:rPr>
          <w:rFonts w:asciiTheme="minorEastAsia" w:hAnsiTheme="minorEastAsia" w:hint="eastAsia"/>
        </w:rPr>
        <w:t>平台为海康8</w:t>
      </w:r>
      <w:r w:rsidRPr="00E748FD">
        <w:rPr>
          <w:rFonts w:asciiTheme="minorEastAsia" w:hAnsiTheme="minorEastAsia"/>
        </w:rPr>
        <w:t>700</w:t>
      </w:r>
      <w:r w:rsidRPr="00E748FD">
        <w:rPr>
          <w:rFonts w:asciiTheme="minorEastAsia" w:hAnsiTheme="minorEastAsia" w:hint="eastAsia"/>
        </w:rPr>
        <w:t>综合安防平台。至今已</w:t>
      </w:r>
      <w:r w:rsidR="008A0B4C">
        <w:rPr>
          <w:rFonts w:asciiTheme="minorEastAsia" w:hAnsiTheme="minorEastAsia" w:hint="eastAsia"/>
        </w:rPr>
        <w:t>运行</w:t>
      </w:r>
      <w:r w:rsidRPr="00E748FD">
        <w:rPr>
          <w:rFonts w:asciiTheme="minorEastAsia" w:hAnsiTheme="minorEastAsia" w:hint="eastAsia"/>
        </w:rPr>
        <w:t>6年时间，</w:t>
      </w:r>
      <w:r w:rsidR="008A0B4C">
        <w:rPr>
          <w:rFonts w:asciiTheme="minorEastAsia" w:hAnsiTheme="minorEastAsia" w:hint="eastAsia"/>
        </w:rPr>
        <w:t>视频</w:t>
      </w:r>
      <w:r w:rsidRPr="00E748FD">
        <w:rPr>
          <w:rFonts w:asciiTheme="minorEastAsia" w:hAnsiTheme="minorEastAsia" w:hint="eastAsia"/>
        </w:rPr>
        <w:t>监控</w:t>
      </w:r>
      <w:r w:rsidR="008A0B4C">
        <w:rPr>
          <w:rFonts w:asciiTheme="minorEastAsia" w:hAnsiTheme="minorEastAsia" w:hint="eastAsia"/>
        </w:rPr>
        <w:t>系统平台及</w:t>
      </w:r>
      <w:r w:rsidRPr="00E748FD">
        <w:rPr>
          <w:rFonts w:asciiTheme="minorEastAsia" w:hAnsiTheme="minorEastAsia" w:hint="eastAsia"/>
        </w:rPr>
        <w:t>存储设备日益</w:t>
      </w:r>
      <w:r w:rsidR="008A0B4C" w:rsidRPr="00E748FD">
        <w:rPr>
          <w:rFonts w:asciiTheme="minorEastAsia" w:hAnsiTheme="minorEastAsia" w:hint="eastAsia"/>
        </w:rPr>
        <w:t>老化</w:t>
      </w:r>
      <w:r w:rsidRPr="00E748FD">
        <w:rPr>
          <w:rFonts w:asciiTheme="minorEastAsia" w:hAnsiTheme="minorEastAsia" w:hint="eastAsia"/>
        </w:rPr>
        <w:t>，</w:t>
      </w:r>
      <w:r w:rsidR="008A0B4C">
        <w:rPr>
          <w:rFonts w:asciiTheme="minorEastAsia" w:hAnsiTheme="minorEastAsia" w:hint="eastAsia"/>
        </w:rPr>
        <w:t>医院对于安防系统的要求也日益提升，</w:t>
      </w:r>
      <w:r w:rsidRPr="00E748FD">
        <w:rPr>
          <w:rFonts w:asciiTheme="minorEastAsia" w:hAnsiTheme="minorEastAsia" w:hint="eastAsia"/>
        </w:rPr>
        <w:t>为了保</w:t>
      </w:r>
      <w:r w:rsidR="008A0B4C">
        <w:rPr>
          <w:rFonts w:asciiTheme="minorEastAsia" w:hAnsiTheme="minorEastAsia" w:hint="eastAsia"/>
        </w:rPr>
        <w:t>障</w:t>
      </w:r>
      <w:r w:rsidRPr="00E748FD">
        <w:rPr>
          <w:rFonts w:asciiTheme="minorEastAsia" w:hAnsiTheme="minorEastAsia" w:hint="eastAsia"/>
        </w:rPr>
        <w:t>医院</w:t>
      </w:r>
      <w:r w:rsidR="008A0B4C">
        <w:rPr>
          <w:rFonts w:asciiTheme="minorEastAsia" w:hAnsiTheme="minorEastAsia" w:hint="eastAsia"/>
        </w:rPr>
        <w:t>视频监控</w:t>
      </w:r>
      <w:r w:rsidRPr="00E748FD">
        <w:rPr>
          <w:rFonts w:asciiTheme="minorEastAsia" w:hAnsiTheme="minorEastAsia" w:hint="eastAsia"/>
        </w:rPr>
        <w:t>系统的</w:t>
      </w:r>
      <w:r w:rsidR="008A0B4C">
        <w:rPr>
          <w:rFonts w:asciiTheme="minorEastAsia" w:hAnsiTheme="minorEastAsia" w:hint="eastAsia"/>
        </w:rPr>
        <w:t>高</w:t>
      </w:r>
      <w:r w:rsidRPr="00E748FD">
        <w:rPr>
          <w:rFonts w:asciiTheme="minorEastAsia" w:hAnsiTheme="minorEastAsia" w:hint="eastAsia"/>
        </w:rPr>
        <w:t>效运行</w:t>
      </w:r>
      <w:r w:rsidR="008A0B4C">
        <w:rPr>
          <w:rFonts w:asciiTheme="minorEastAsia" w:hAnsiTheme="minorEastAsia" w:hint="eastAsia"/>
        </w:rPr>
        <w:t>及</w:t>
      </w:r>
      <w:r w:rsidR="008A0B4C" w:rsidRPr="00A826C4">
        <w:rPr>
          <w:rFonts w:asciiTheme="minorEastAsia" w:hAnsiTheme="minorEastAsia" w:hint="eastAsia"/>
        </w:rPr>
        <w:t>优化监控存储空间分配</w:t>
      </w:r>
      <w:r w:rsidR="008A0B4C">
        <w:rPr>
          <w:rFonts w:asciiTheme="minorEastAsia" w:hAnsiTheme="minorEastAsia" w:hint="eastAsia"/>
        </w:rPr>
        <w:t>的</w:t>
      </w:r>
      <w:r w:rsidR="008A0B4C" w:rsidRPr="00A826C4">
        <w:rPr>
          <w:rFonts w:asciiTheme="minorEastAsia" w:hAnsiTheme="minorEastAsia" w:hint="eastAsia"/>
        </w:rPr>
        <w:t>合理性、可支配性和稳定性</w:t>
      </w:r>
      <w:r w:rsidRPr="00E748FD">
        <w:rPr>
          <w:rFonts w:asciiTheme="minorEastAsia" w:hAnsiTheme="minorEastAsia" w:hint="eastAsia"/>
        </w:rPr>
        <w:t>，现决定对存储及</w:t>
      </w:r>
      <w:r w:rsidR="008A0B4C">
        <w:rPr>
          <w:rFonts w:asciiTheme="minorEastAsia" w:hAnsiTheme="minorEastAsia" w:hint="eastAsia"/>
        </w:rPr>
        <w:t>视频监控</w:t>
      </w:r>
      <w:r w:rsidRPr="00E748FD">
        <w:rPr>
          <w:rFonts w:asciiTheme="minorEastAsia" w:hAnsiTheme="minorEastAsia" w:hint="eastAsia"/>
        </w:rPr>
        <w:t>平台进行升级</w:t>
      </w:r>
      <w:r>
        <w:rPr>
          <w:rFonts w:asciiTheme="minorEastAsia" w:hAnsiTheme="minorEastAsia" w:hint="eastAsia"/>
        </w:rPr>
        <w:t>，</w:t>
      </w:r>
      <w:r w:rsidR="002E33F4">
        <w:rPr>
          <w:rFonts w:asciiTheme="minorEastAsia" w:hAnsiTheme="minorEastAsia" w:hint="eastAsia"/>
        </w:rPr>
        <w:t>具体改造需求如下：</w:t>
      </w:r>
    </w:p>
    <w:p w:rsidR="0041237C" w:rsidRPr="00422483" w:rsidRDefault="00E748FD" w:rsidP="00422483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 w:rsidRPr="00422483">
        <w:rPr>
          <w:rFonts w:asciiTheme="minorEastAsia" w:hAnsiTheme="minorEastAsia" w:hint="eastAsia"/>
        </w:rPr>
        <w:t>对整体安防平台进行升级，实现在平台就能对存储视频做存储计划。</w:t>
      </w:r>
    </w:p>
    <w:p w:rsidR="00422483" w:rsidRDefault="00422483" w:rsidP="00422483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 w:rsidRPr="00422483">
        <w:rPr>
          <w:rFonts w:asciiTheme="minorEastAsia" w:hAnsiTheme="minorEastAsia" w:hint="eastAsia"/>
        </w:rPr>
        <w:t>对老化的C</w:t>
      </w:r>
      <w:r w:rsidRPr="00422483">
        <w:rPr>
          <w:rFonts w:asciiTheme="minorEastAsia" w:hAnsiTheme="minorEastAsia"/>
        </w:rPr>
        <w:t>VR</w:t>
      </w:r>
      <w:r w:rsidRPr="00422483">
        <w:rPr>
          <w:rFonts w:asciiTheme="minorEastAsia" w:hAnsiTheme="minorEastAsia" w:hint="eastAsia"/>
        </w:rPr>
        <w:t>设备进行更换，</w:t>
      </w:r>
      <w:r w:rsidR="00FC1657">
        <w:rPr>
          <w:rFonts w:asciiTheme="minorEastAsia" w:hAnsiTheme="minorEastAsia" w:hint="eastAsia"/>
        </w:rPr>
        <w:t>充分考虑</w:t>
      </w:r>
      <w:r w:rsidR="006874C0">
        <w:rPr>
          <w:rFonts w:asciiTheme="minorEastAsia" w:hAnsiTheme="minorEastAsia" w:hint="eastAsia"/>
        </w:rPr>
        <w:t>与原</w:t>
      </w:r>
      <w:r w:rsidR="00FC1657">
        <w:rPr>
          <w:rFonts w:asciiTheme="minorEastAsia" w:hAnsiTheme="minorEastAsia" w:hint="eastAsia"/>
        </w:rPr>
        <w:t>设备兼容性，</w:t>
      </w:r>
      <w:r w:rsidRPr="00422483">
        <w:rPr>
          <w:rFonts w:asciiTheme="minorEastAsia" w:hAnsiTheme="minorEastAsia" w:hint="eastAsia"/>
        </w:rPr>
        <w:t>并通过数据迁移，将老设备的视频存储迁移到新设备上，达到医院整体监控设备的安全长期平稳运行。</w:t>
      </w:r>
    </w:p>
    <w:p w:rsidR="00D45661" w:rsidRDefault="00D45661" w:rsidP="00422483">
      <w:pPr>
        <w:numPr>
          <w:ilvl w:val="0"/>
          <w:numId w:val="1"/>
        </w:numPr>
        <w:spacing w:line="4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升级、改造设备清单（附件一）。</w:t>
      </w:r>
    </w:p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6、服务方案；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41237C" w:rsidRDefault="002E33F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 w:rsidR="00215638">
        <w:rPr>
          <w:rFonts w:ascii="宋体" w:hAnsi="宋体" w:hint="eastAsia"/>
        </w:rPr>
        <w:t>三个月</w:t>
      </w:r>
      <w:r>
        <w:rPr>
          <w:rFonts w:ascii="宋体" w:hAnsi="宋体" w:hint="eastAsia"/>
        </w:rPr>
        <w:t>内验收通过</w:t>
      </w:r>
      <w:r>
        <w:rPr>
          <w:rFonts w:ascii="宋体" w:hAnsi="宋体" w:hint="eastAsia"/>
          <w:bCs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项目验收合格后三个月内支付合同金额的95%；项目验收合格一年后的一月内，</w:t>
      </w:r>
      <w:r>
        <w:rPr>
          <w:rFonts w:ascii="宋体" w:hAnsi="宋体" w:cs="宋体" w:hint="eastAsia"/>
          <w:color w:val="000000"/>
        </w:rPr>
        <w:lastRenderedPageBreak/>
        <w:t>付清剩余的合同金额。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售后服务：提供的软件、硬件应有1年及以上的免费保修期，如涉及软件升级应提供免费升级服务。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资格的投标人到宁波大学附属人民医院采购中心（17-2号楼-201室）电话报名，联系人：肖老师、蔡老师，联系电话：0574-87016979、15867817760、13967858136。报名截止时间2022年6月9日17时。项目咨询</w:t>
      </w:r>
      <w:r w:rsidR="00215638">
        <w:rPr>
          <w:rFonts w:ascii="宋体" w:hAnsi="宋体" w:hint="eastAsia"/>
          <w:color w:val="000000"/>
        </w:rPr>
        <w:t>：王云，13566305774</w:t>
      </w:r>
      <w:r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2、本次议标定于2022年6月10日</w:t>
      </w:r>
      <w:r w:rsidR="0022590E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时，地点：16号楼1楼114会议室（具体时间地点将以现场报名登记时告知为准）。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3、疫情期间请参与议标的供应商代表做好个人防护，全程戴好口罩，并请出示行程卡、健康码的绿码，同时需持有72小时内核酸检测阴性证明。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2022-6-</w:t>
      </w:r>
      <w:r w:rsidR="00215638">
        <w:rPr>
          <w:rFonts w:ascii="宋体" w:hAnsi="宋体" w:hint="eastAsia"/>
          <w:color w:val="000000"/>
        </w:rPr>
        <w:t>6</w:t>
      </w: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  <w:sectPr w:rsidR="00A760A9" w:rsidSect="00A760A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237C" w:rsidRDefault="00D45661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附件一：</w:t>
      </w:r>
      <w:r w:rsidRPr="00D45661">
        <w:rPr>
          <w:rFonts w:asciiTheme="minorEastAsia" w:hAnsiTheme="minorEastAsia" w:hint="eastAsia"/>
          <w:b/>
        </w:rPr>
        <w:t>升级、改造设备清单</w:t>
      </w:r>
      <w:bookmarkStart w:id="0" w:name="_GoBack"/>
      <w:bookmarkEnd w:id="0"/>
    </w:p>
    <w:tbl>
      <w:tblPr>
        <w:tblStyle w:val="aa"/>
        <w:tblW w:w="0" w:type="auto"/>
        <w:tblLook w:val="04A0"/>
      </w:tblPr>
      <w:tblGrid>
        <w:gridCol w:w="481"/>
        <w:gridCol w:w="687"/>
        <w:gridCol w:w="1492"/>
        <w:gridCol w:w="1276"/>
        <w:gridCol w:w="8788"/>
        <w:gridCol w:w="567"/>
        <w:gridCol w:w="709"/>
      </w:tblGrid>
      <w:tr w:rsidR="00A760A9" w:rsidRPr="00A760A9" w:rsidTr="00A760A9">
        <w:trPr>
          <w:trHeight w:val="270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名称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产品类别</w:t>
            </w: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商品名称</w:t>
            </w:r>
          </w:p>
        </w:tc>
        <w:tc>
          <w:tcPr>
            <w:tcW w:w="8788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技术规格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数量</w:t>
            </w:r>
          </w:p>
        </w:tc>
      </w:tr>
      <w:tr w:rsidR="00A760A9" w:rsidRPr="00A760A9" w:rsidTr="00A760A9">
        <w:trPr>
          <w:trHeight w:val="1080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存储产品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proofErr w:type="spellStart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IoT</w:t>
            </w:r>
            <w:proofErr w:type="spellEnd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-CVR存储</w:t>
            </w: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网络存储设备</w:t>
            </w:r>
          </w:p>
        </w:tc>
        <w:tc>
          <w:tcPr>
            <w:tcW w:w="8788" w:type="dxa"/>
            <w:hideMark/>
          </w:tcPr>
          <w:p w:rsidR="00A760A9" w:rsidRPr="00A760A9" w:rsidRDefault="00A760A9" w:rsidP="001F0B76">
            <w:pPr>
              <w:spacing w:line="580" w:lineRule="exact"/>
              <w:outlineLvl w:val="1"/>
              <w:rPr>
                <w:rFonts w:ascii="宋体" w:hAnsi="宋体" w:cs="宋体"/>
                <w:bCs/>
                <w:color w:val="000000"/>
                <w:sz w:val="18"/>
              </w:rPr>
            </w:pP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机架式/4U 36盘位/1536Mbps接入带宽/36块4T企业级SATA硬盘/64位多核处理器/4GB缓存（可扩展至64GB））/2个千兆数据网口/1个千兆管理网口/冗余电源/网络协议：RTSP/ONVIF/PSIA/（GB/T28181）</w:t>
            </w:r>
            <w:r w:rsidR="001F0B76">
              <w:rPr>
                <w:rFonts w:ascii="宋体" w:hAnsi="宋体" w:cs="宋体" w:hint="eastAsia"/>
                <w:bCs/>
                <w:color w:val="000000"/>
                <w:sz w:val="18"/>
              </w:rPr>
              <w:t>；</w:t>
            </w:r>
            <w:r w:rsidR="001F0B76" w:rsidRPr="001F0B76">
              <w:rPr>
                <w:rFonts w:ascii="宋体" w:hAnsi="宋体" w:cs="宋体" w:hint="eastAsia"/>
                <w:bCs/>
                <w:color w:val="000000"/>
                <w:sz w:val="18"/>
              </w:rPr>
              <w:t>为保证产品兼容性，提供</w:t>
            </w:r>
            <w:r w:rsidR="001F0B76">
              <w:rPr>
                <w:rFonts w:ascii="宋体" w:hAnsi="宋体" w:cs="宋体" w:hint="eastAsia"/>
                <w:bCs/>
                <w:color w:val="000000"/>
                <w:sz w:val="18"/>
              </w:rPr>
              <w:t>宁波大学附属人民医院</w:t>
            </w:r>
            <w:r w:rsidR="001F0B76" w:rsidRPr="001F0B76">
              <w:rPr>
                <w:rFonts w:ascii="宋体" w:hAnsi="宋体" w:cs="宋体" w:hint="eastAsia"/>
                <w:bCs/>
                <w:color w:val="000000"/>
                <w:sz w:val="18"/>
              </w:rPr>
              <w:t>原有8700视频监控管理平台厂家接入证明，并提供原厂授权，加盖公章。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台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</w:tr>
      <w:tr w:rsidR="00A760A9" w:rsidRPr="00A760A9" w:rsidTr="001F0B76">
        <w:trPr>
          <w:trHeight w:val="1975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基础包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proofErr w:type="spellStart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iSecure</w:t>
            </w:r>
            <w:proofErr w:type="spellEnd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 xml:space="preserve"> Center综合安防管理平台(DS)</w:t>
            </w: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proofErr w:type="spellStart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iSecure</w:t>
            </w:r>
            <w:proofErr w:type="spellEnd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 xml:space="preserve"> Center综合安防管理平台软件V1.0.0</w:t>
            </w:r>
          </w:p>
        </w:tc>
        <w:tc>
          <w:tcPr>
            <w:tcW w:w="8788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Cs/>
                <w:color w:val="000000"/>
                <w:sz w:val="18"/>
              </w:rPr>
            </w:pP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1、支持管理最大组织数2000个，组织层级最大10级；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2、支持管理最大区域数2000个，区域层级最大10级。；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3、支持管理最大人员数量5万；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4、支持管理最大卡片数量5万；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5、支持管理最大车辆数量3万；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6、支持最大的在线用户数1000个，并发登录用户数50个。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7、支持最大事件并发处理500条/秒（不带图片）；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8、支持联动上墙并发1次/秒；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lastRenderedPageBreak/>
              <w:t>9、支持最大每秒联动100个不同的视频点位进行抓图；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10、支持最大每秒联动100个不同的视频点位进行录像；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11、支持联动并发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发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邮件2封/秒；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12、支持短信联动（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云信留客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短信网关：1-2秒/条；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短信猫：70字符以下，10秒/条；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70字符以上分条发送，20秒/条；）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13、支持最大事件存储7200万条；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14、支持管理资源上图数量2万个。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备注：以上是单台服务器部署系统基础规格，超出规格需考虑分布式部署。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套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</w:tr>
      <w:tr w:rsidR="00A760A9" w:rsidRPr="00A760A9" w:rsidTr="00A760A9">
        <w:trPr>
          <w:trHeight w:val="1408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视频监控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proofErr w:type="spellStart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iSecure</w:t>
            </w:r>
            <w:proofErr w:type="spellEnd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 xml:space="preserve"> Center综合安防管理平台(DS)</w:t>
            </w: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Secure Center综合安防管理平台软件V1.0.0</w:t>
            </w:r>
          </w:p>
        </w:tc>
        <w:tc>
          <w:tcPr>
            <w:tcW w:w="8788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Cs/>
                <w:color w:val="000000"/>
                <w:sz w:val="18"/>
              </w:rPr>
            </w:pP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1、支持监控点数量10W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个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（超过5000需要分布式部署）；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2、支持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并发取流带宽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2000M，例如以2M/路计算最大并发路数为1000路 （以千兆服务器为例，每台服务器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并发取流带宽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为600M，超过600M需要分布式部署）；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3、解码能力：在i7、GTX1070的PC上，解码H264、720P的视频36路；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4、支持电视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墙最大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场景数128个；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lastRenderedPageBreak/>
              <w:t>5、单个电视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墙最大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支持数量25*25个；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6、单个窗口最大分割数量16个。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路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800</w:t>
            </w:r>
          </w:p>
        </w:tc>
      </w:tr>
      <w:tr w:rsidR="00A760A9" w:rsidRPr="00A760A9" w:rsidTr="00A760A9">
        <w:trPr>
          <w:trHeight w:val="1269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数据中心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proofErr w:type="spellStart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intel</w:t>
            </w:r>
            <w:proofErr w:type="spellEnd"/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双路通用服务器</w:t>
            </w: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服务器</w:t>
            </w:r>
          </w:p>
        </w:tc>
        <w:tc>
          <w:tcPr>
            <w:tcW w:w="8788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Cs/>
                <w:color w:val="000000"/>
                <w:sz w:val="18"/>
              </w:rPr>
            </w:pP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4210×1/64G DDR4/1.2T 10K  SAS×2(RAID_1)/SAS_HBA/1GbE×</w:t>
            </w:r>
            <w:r>
              <w:rPr>
                <w:rFonts w:ascii="宋体" w:hAnsi="宋体" w:cs="宋体" w:hint="eastAsia"/>
                <w:bCs/>
                <w:color w:val="000000"/>
                <w:sz w:val="18"/>
              </w:rPr>
              <w:t xml:space="preserve">2/550W(1+1)/2U/16DIMM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2U双路标准机架式服务器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CPU：1颗</w:t>
            </w:r>
            <w:proofErr w:type="spell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intel</w:t>
            </w:r>
            <w:proofErr w:type="spell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至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强系列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 xml:space="preserve">处理器，核数≥10核，主频≥2.2GHz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内存：32G*2 DDR4，16根内存插槽，最大支持扩展至2TB内存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硬盘：2块1.2T 10K 2.5寸 SAS硬盘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阵列卡：SAS_HBA卡, 支持RAID 0/1/10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PCIE扩展：最大可支持6个PCIE扩展插槽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网口：2个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千兆电口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 xml:space="preserve">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其他接口：1个RJ45管理接口，后置2个USB 3.0接口，前置2个USB2.0接口，1个VGA接口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电源：</w:t>
            </w:r>
            <w:proofErr w:type="gramStart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标配</w:t>
            </w:r>
            <w:proofErr w:type="gramEnd"/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 xml:space="preserve">550W（1+1）高效铂金CRPS冗余电源 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 xml:space="preserve">机箱规格：87.8mm(高)x 448mm(宽)x729.8mm(深)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lastRenderedPageBreak/>
              <w:t xml:space="preserve">设备重量：约26KG（含导轨） </w:t>
            </w: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br/>
              <w:t>操作系统：HIK OS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台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</w:tr>
      <w:tr w:rsidR="00A760A9" w:rsidRPr="00A760A9" w:rsidTr="00A760A9">
        <w:trPr>
          <w:trHeight w:val="270"/>
        </w:trPr>
        <w:tc>
          <w:tcPr>
            <w:tcW w:w="481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68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施工调试费用</w:t>
            </w:r>
          </w:p>
        </w:tc>
        <w:tc>
          <w:tcPr>
            <w:tcW w:w="1492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76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8788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Cs/>
                <w:color w:val="000000"/>
                <w:sz w:val="18"/>
              </w:rPr>
            </w:pPr>
            <w:r w:rsidRPr="00A760A9">
              <w:rPr>
                <w:rFonts w:ascii="宋体" w:hAnsi="宋体" w:cs="宋体" w:hint="eastAsia"/>
                <w:bCs/>
                <w:color w:val="000000"/>
                <w:sz w:val="18"/>
              </w:rPr>
              <w:t>施工调试费用</w:t>
            </w:r>
          </w:p>
        </w:tc>
        <w:tc>
          <w:tcPr>
            <w:tcW w:w="567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项</w:t>
            </w:r>
          </w:p>
        </w:tc>
        <w:tc>
          <w:tcPr>
            <w:tcW w:w="709" w:type="dxa"/>
            <w:hideMark/>
          </w:tcPr>
          <w:p w:rsidR="00A760A9" w:rsidRPr="00A760A9" w:rsidRDefault="00A760A9" w:rsidP="00A760A9">
            <w:pPr>
              <w:spacing w:line="580" w:lineRule="exact"/>
              <w:outlineLvl w:val="1"/>
              <w:rPr>
                <w:rFonts w:ascii="宋体" w:hAnsi="宋体" w:cs="宋体"/>
                <w:b/>
                <w:bCs/>
                <w:color w:val="000000"/>
              </w:rPr>
            </w:pPr>
            <w:r w:rsidRPr="00A760A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</w:tr>
    </w:tbl>
    <w:p w:rsidR="0041237C" w:rsidRDefault="0041237C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  <w:sectPr w:rsidR="00A760A9" w:rsidSect="00A760A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1237C" w:rsidRDefault="00D45661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附件二：</w:t>
      </w:r>
      <w:r>
        <w:rPr>
          <w:rFonts w:asciiTheme="minorEastAsia" w:hAnsiTheme="minorEastAsia" w:hint="eastAsia"/>
          <w:b/>
          <w:bCs/>
        </w:rPr>
        <w:t>项目评分表</w:t>
      </w:r>
    </w:p>
    <w:p w:rsidR="0041237C" w:rsidRDefault="0041237C">
      <w:pPr>
        <w:rPr>
          <w:rFonts w:asciiTheme="minorEastAsia" w:hAnsiTheme="minorEastAsia"/>
          <w:b/>
          <w:bCs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41237C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41237C" w:rsidRDefault="002E33F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41237C" w:rsidRDefault="002E33F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41237C" w:rsidRDefault="002E33F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41237C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6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6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41237C" w:rsidRDefault="002E33F4" w:rsidP="00FC1657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近3年（2019</w:t>
            </w:r>
            <w:r w:rsidR="00FC1657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1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公司服务能力(20分)</w:t>
            </w:r>
          </w:p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1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服务实施方案(30分)</w:t>
            </w:r>
          </w:p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</w:t>
            </w:r>
            <w:r w:rsidR="00FC1657">
              <w:rPr>
                <w:rFonts w:asciiTheme="minorEastAsia" w:hAnsiTheme="minorEastAsia" w:cs="仿宋" w:hint="eastAsia"/>
                <w:kern w:val="0"/>
              </w:rPr>
              <w:t>设备兼容性、</w:t>
            </w:r>
            <w:r>
              <w:rPr>
                <w:rFonts w:asciiTheme="minorEastAsia" w:hAnsiTheme="minorEastAsia" w:cs="仿宋" w:hint="eastAsia"/>
                <w:kern w:val="0"/>
              </w:rPr>
              <w:t>工期等承诺、与院方配合方案等进行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1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售后服务方案(15分)</w:t>
            </w:r>
          </w:p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41237C">
        <w:trPr>
          <w:trHeight w:val="341"/>
          <w:jc w:val="center"/>
        </w:trPr>
        <w:tc>
          <w:tcPr>
            <w:tcW w:w="743" w:type="dxa"/>
            <w:vAlign w:val="center"/>
          </w:tcPr>
          <w:p w:rsidR="0041237C" w:rsidRDefault="002E33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培训计划（2分）</w:t>
            </w:r>
          </w:p>
          <w:p w:rsidR="0041237C" w:rsidRDefault="002E33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41237C" w:rsidRDefault="0041237C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签字：</w:t>
      </w:r>
    </w:p>
    <w:p w:rsidR="0041237C" w:rsidRDefault="0041237C"/>
    <w:p w:rsidR="0041237C" w:rsidRDefault="0041237C">
      <w:pPr>
        <w:spacing w:line="580" w:lineRule="exact"/>
        <w:outlineLvl w:val="1"/>
        <w:rPr>
          <w:rFonts w:ascii="宋体" w:hAnsi="宋体"/>
          <w:b/>
        </w:rPr>
      </w:pPr>
    </w:p>
    <w:p w:rsidR="0041237C" w:rsidRDefault="0041237C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</w:rPr>
      </w:pPr>
    </w:p>
    <w:p w:rsidR="0041237C" w:rsidRDefault="0041237C"/>
    <w:sectPr w:rsidR="0041237C" w:rsidSect="00A7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07" w:rsidRDefault="004C4F07" w:rsidP="0041237C">
      <w:r>
        <w:separator/>
      </w:r>
    </w:p>
  </w:endnote>
  <w:endnote w:type="continuationSeparator" w:id="0">
    <w:p w:rsidR="004C4F07" w:rsidRDefault="004C4F07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41237C" w:rsidRDefault="00EC38EC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590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2E33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590E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37C" w:rsidRDefault="00412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07" w:rsidRDefault="004C4F07" w:rsidP="0041237C">
      <w:r>
        <w:separator/>
      </w:r>
    </w:p>
  </w:footnote>
  <w:footnote w:type="continuationSeparator" w:id="0">
    <w:p w:rsidR="004C4F07" w:rsidRDefault="004C4F07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2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168CD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15638"/>
    <w:rsid w:val="002227DF"/>
    <w:rsid w:val="0022590E"/>
    <w:rsid w:val="002318FB"/>
    <w:rsid w:val="00241AA5"/>
    <w:rsid w:val="002422F0"/>
    <w:rsid w:val="0026437C"/>
    <w:rsid w:val="00267EA0"/>
    <w:rsid w:val="00276825"/>
    <w:rsid w:val="002863CB"/>
    <w:rsid w:val="00293D7D"/>
    <w:rsid w:val="002A0915"/>
    <w:rsid w:val="002C687A"/>
    <w:rsid w:val="002D7AE8"/>
    <w:rsid w:val="002E33F4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742B9"/>
    <w:rsid w:val="003824E9"/>
    <w:rsid w:val="00386880"/>
    <w:rsid w:val="0039494A"/>
    <w:rsid w:val="003A1D64"/>
    <w:rsid w:val="003D181C"/>
    <w:rsid w:val="003D4A82"/>
    <w:rsid w:val="003E356D"/>
    <w:rsid w:val="003F2F4B"/>
    <w:rsid w:val="003F7BF9"/>
    <w:rsid w:val="0041237C"/>
    <w:rsid w:val="00422483"/>
    <w:rsid w:val="00453708"/>
    <w:rsid w:val="00461AA5"/>
    <w:rsid w:val="00465276"/>
    <w:rsid w:val="00470AE1"/>
    <w:rsid w:val="0049004F"/>
    <w:rsid w:val="004A6EE8"/>
    <w:rsid w:val="004B2350"/>
    <w:rsid w:val="004C4F07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6C6F"/>
    <w:rsid w:val="006874C0"/>
    <w:rsid w:val="00692597"/>
    <w:rsid w:val="006A0D89"/>
    <w:rsid w:val="006A74E1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617F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0B4C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5973"/>
    <w:rsid w:val="00A760A9"/>
    <w:rsid w:val="00A826C4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E3281"/>
    <w:rsid w:val="00BF0866"/>
    <w:rsid w:val="00BF2486"/>
    <w:rsid w:val="00BF3BA3"/>
    <w:rsid w:val="00BF40C4"/>
    <w:rsid w:val="00BF5387"/>
    <w:rsid w:val="00C0018D"/>
    <w:rsid w:val="00C06257"/>
    <w:rsid w:val="00C06EC1"/>
    <w:rsid w:val="00C31553"/>
    <w:rsid w:val="00C52607"/>
    <w:rsid w:val="00C63827"/>
    <w:rsid w:val="00C643D6"/>
    <w:rsid w:val="00C90077"/>
    <w:rsid w:val="00C92672"/>
    <w:rsid w:val="00C92E36"/>
    <w:rsid w:val="00CB7A78"/>
    <w:rsid w:val="00CC1FB2"/>
    <w:rsid w:val="00CE4B91"/>
    <w:rsid w:val="00D34C19"/>
    <w:rsid w:val="00D45661"/>
    <w:rsid w:val="00D93AF8"/>
    <w:rsid w:val="00DE04DE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C2241"/>
    <w:rsid w:val="00EC38EC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D53BB"/>
    <w:rsid w:val="00FD5926"/>
    <w:rsid w:val="00FE1590"/>
    <w:rsid w:val="00FE58EE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34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B460-F68F-4BDB-9408-DDAF4817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54</cp:revision>
  <dcterms:created xsi:type="dcterms:W3CDTF">2022-04-23T03:13:00Z</dcterms:created>
  <dcterms:modified xsi:type="dcterms:W3CDTF">2022-06-06T08:11:00Z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