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67D9">
      <w:pPr>
        <w:spacing w:line="440" w:lineRule="exact"/>
        <w:jc w:val="center"/>
        <w:rPr>
          <w:rFonts w:ascii="楷体" w:eastAsia="楷体" w:hAnsi="楷体"/>
          <w:b/>
          <w:sz w:val="36"/>
          <w:szCs w:val="24"/>
        </w:rPr>
      </w:pPr>
      <w:r>
        <w:rPr>
          <w:rFonts w:ascii="楷体" w:eastAsia="楷体" w:hAnsi="楷体" w:hint="eastAsia"/>
          <w:b/>
          <w:sz w:val="36"/>
          <w:szCs w:val="24"/>
        </w:rPr>
        <w:t>宁波大学附属人民医院示教室改造工程</w:t>
      </w:r>
    </w:p>
    <w:p w:rsidR="00000000" w:rsidRDefault="005F67D9">
      <w:pPr>
        <w:spacing w:line="440" w:lineRule="exact"/>
        <w:jc w:val="center"/>
        <w:rPr>
          <w:rFonts w:ascii="楷体" w:eastAsia="楷体" w:hAnsi="楷体"/>
          <w:b/>
          <w:sz w:val="36"/>
          <w:szCs w:val="24"/>
        </w:rPr>
      </w:pPr>
      <w:r>
        <w:rPr>
          <w:rFonts w:ascii="楷体" w:eastAsia="楷体" w:hAnsi="楷体" w:hint="eastAsia"/>
          <w:b/>
          <w:sz w:val="36"/>
          <w:szCs w:val="24"/>
        </w:rPr>
        <w:t>招标控制价编制说明</w:t>
      </w:r>
      <w:r>
        <w:rPr>
          <w:rFonts w:ascii="楷体" w:eastAsia="楷体" w:hAnsi="楷体"/>
          <w:b/>
          <w:sz w:val="36"/>
          <w:szCs w:val="24"/>
        </w:rPr>
        <w:t xml:space="preserve"> </w:t>
      </w:r>
    </w:p>
    <w:p w:rsidR="00000000" w:rsidRDefault="005F67D9" w:rsidP="005F67D9">
      <w:pPr>
        <w:spacing w:beforeLines="30" w:afterLines="30" w:line="440" w:lineRule="exact"/>
        <w:ind w:firstLineChars="200" w:firstLine="458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一、编制依据</w:t>
      </w:r>
    </w:p>
    <w:p w:rsidR="00000000" w:rsidRDefault="005F67D9">
      <w:pPr>
        <w:spacing w:line="440" w:lineRule="exact"/>
        <w:ind w:firstLineChars="200" w:firstLine="456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由中外建华诚工程技术有限公司设计的</w:t>
      </w:r>
      <w:r>
        <w:rPr>
          <w:rFonts w:ascii="宋体" w:hAnsi="宋体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月版的宁波</w:t>
      </w:r>
      <w:r>
        <w:rPr>
          <w:rFonts w:ascii="宋体" w:hAnsi="宋体" w:hint="eastAsia"/>
          <w:sz w:val="24"/>
          <w:szCs w:val="24"/>
        </w:rPr>
        <w:t>大学附属人民医院示教室改造工程的结构、建筑、电气、给排水施工图。</w:t>
      </w:r>
    </w:p>
    <w:p w:rsidR="00000000" w:rsidRDefault="005F67D9">
      <w:pPr>
        <w:spacing w:line="440" w:lineRule="exact"/>
        <w:ind w:firstLineChars="200" w:firstLine="456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设计问题回复。</w:t>
      </w:r>
    </w:p>
    <w:p w:rsidR="00000000" w:rsidRDefault="005F67D9">
      <w:pPr>
        <w:spacing w:line="440" w:lineRule="exact"/>
        <w:ind w:firstLineChars="200" w:firstLine="456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《建设工程工程量清单计价规范》</w:t>
      </w:r>
      <w:r>
        <w:rPr>
          <w:rFonts w:ascii="宋体" w:hAnsi="宋体"/>
          <w:sz w:val="24"/>
          <w:szCs w:val="24"/>
        </w:rPr>
        <w:t>GB50500-2013</w:t>
      </w:r>
      <w:r>
        <w:rPr>
          <w:rFonts w:ascii="宋体" w:hAnsi="宋体" w:hint="eastAsia"/>
          <w:sz w:val="24"/>
          <w:szCs w:val="24"/>
        </w:rPr>
        <w:t>及浙江省有关补充规定。</w:t>
      </w:r>
    </w:p>
    <w:p w:rsidR="00000000" w:rsidRDefault="005F67D9">
      <w:pPr>
        <w:spacing w:line="440" w:lineRule="exact"/>
        <w:ind w:firstLineChars="200" w:firstLine="456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《浙江省建设工程计价规则》</w:t>
      </w:r>
      <w:r>
        <w:rPr>
          <w:rFonts w:ascii="宋体" w:hAnsi="宋体"/>
          <w:sz w:val="24"/>
          <w:szCs w:val="24"/>
        </w:rPr>
        <w:t>(2018</w:t>
      </w:r>
      <w:r>
        <w:rPr>
          <w:rFonts w:ascii="宋体" w:hAnsi="宋体" w:hint="eastAsia"/>
          <w:sz w:val="24"/>
          <w:szCs w:val="24"/>
        </w:rPr>
        <w:t>版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。</w:t>
      </w:r>
    </w:p>
    <w:p w:rsidR="00000000" w:rsidRDefault="005F67D9">
      <w:pPr>
        <w:spacing w:line="440" w:lineRule="exact"/>
        <w:ind w:firstLineChars="200" w:firstLine="456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《浙江省房屋建筑与装饰工程预算定额》</w:t>
      </w:r>
      <w:r>
        <w:rPr>
          <w:rFonts w:ascii="宋体" w:hAnsi="宋体"/>
          <w:sz w:val="24"/>
          <w:szCs w:val="24"/>
        </w:rPr>
        <w:t>(2018</w:t>
      </w:r>
      <w:r>
        <w:rPr>
          <w:rFonts w:ascii="宋体" w:hAnsi="宋体" w:hint="eastAsia"/>
          <w:sz w:val="24"/>
          <w:szCs w:val="24"/>
        </w:rPr>
        <w:t>版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。</w:t>
      </w:r>
    </w:p>
    <w:p w:rsidR="00000000" w:rsidRDefault="005F67D9">
      <w:pPr>
        <w:spacing w:line="440" w:lineRule="exact"/>
        <w:ind w:firstLineChars="200" w:firstLine="456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《浙江省通用安装工程预算定额》</w:t>
      </w:r>
      <w:r>
        <w:rPr>
          <w:rFonts w:ascii="宋体" w:hAnsi="宋体"/>
          <w:sz w:val="24"/>
          <w:szCs w:val="24"/>
        </w:rPr>
        <w:t>(2018</w:t>
      </w:r>
      <w:r>
        <w:rPr>
          <w:rFonts w:ascii="宋体" w:hAnsi="宋体" w:hint="eastAsia"/>
          <w:sz w:val="24"/>
          <w:szCs w:val="24"/>
        </w:rPr>
        <w:t>版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。</w:t>
      </w:r>
    </w:p>
    <w:p w:rsidR="00000000" w:rsidRDefault="005F67D9">
      <w:pPr>
        <w:spacing w:line="440" w:lineRule="exact"/>
        <w:ind w:firstLineChars="200" w:firstLine="456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浙江省、宁波市有关工程造价文件规定等。</w:t>
      </w:r>
    </w:p>
    <w:p w:rsidR="00000000" w:rsidRDefault="005F67D9">
      <w:pPr>
        <w:spacing w:line="440" w:lineRule="exact"/>
        <w:ind w:firstLineChars="200" w:firstLine="456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>
        <w:rPr>
          <w:rFonts w:asci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编制方式为工程量清单综合单价法，按一般计税方法计税。</w:t>
      </w:r>
    </w:p>
    <w:p w:rsidR="00000000" w:rsidRDefault="005F67D9" w:rsidP="005F67D9">
      <w:pPr>
        <w:spacing w:beforeLines="30" w:afterLines="30" w:line="440" w:lineRule="exact"/>
        <w:ind w:firstLineChars="200" w:firstLine="458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二、工程费率</w:t>
      </w:r>
    </w:p>
    <w:p w:rsidR="00000000" w:rsidRDefault="005F67D9">
      <w:pPr>
        <w:spacing w:beforeLines="30" w:afterLines="30" w:line="440" w:lineRule="exact"/>
        <w:ind w:firstLineChars="200" w:firstLine="456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取费依据：建筑工程企业管理费、利润及规费费率均按专业打桩、钢结构、幕墙</w:t>
      </w:r>
      <w:r>
        <w:rPr>
          <w:rFonts w:ascii="宋体" w:hAnsi="宋体" w:hint="eastAsia"/>
          <w:sz w:val="24"/>
          <w:szCs w:val="24"/>
        </w:rPr>
        <w:t>及其他专业工程中值计取，安装工程按相应工程中值计取，其中规费按标准费率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折计取；施工组织措施费（安全文明施工基本费按市区一般工程）费率均按中值计取，不计取提前竣工增加费、标化工地增加费、行车、行人干扰增加费及其他施工组织措施费；</w:t>
      </w:r>
      <w:r>
        <w:rPr>
          <w:rFonts w:ascii="宋体" w:hAnsi="宋体" w:hint="eastAsia"/>
          <w:sz w:val="24"/>
          <w:szCs w:val="24"/>
          <w:lang w:val="zh-CN"/>
        </w:rPr>
        <w:t>税金按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  <w:lang w:val="zh-CN"/>
        </w:rPr>
        <w:t>%</w:t>
      </w:r>
      <w:r>
        <w:rPr>
          <w:rFonts w:ascii="宋体" w:hAnsi="宋体" w:hint="eastAsia"/>
          <w:sz w:val="24"/>
          <w:szCs w:val="24"/>
          <w:lang w:val="zh-CN"/>
        </w:rPr>
        <w:t>计取</w:t>
      </w:r>
      <w:r>
        <w:rPr>
          <w:rFonts w:ascii="宋体" w:hAnsi="宋体" w:hint="eastAsia"/>
          <w:sz w:val="24"/>
          <w:szCs w:val="24"/>
        </w:rPr>
        <w:t>。</w:t>
      </w:r>
    </w:p>
    <w:p w:rsidR="00000000" w:rsidRDefault="005F67D9" w:rsidP="005F67D9">
      <w:pPr>
        <w:spacing w:beforeLines="30" w:afterLines="30" w:line="440" w:lineRule="exact"/>
        <w:ind w:firstLineChars="200" w:firstLine="458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三、市场信息价</w:t>
      </w:r>
    </w:p>
    <w:p w:rsidR="00000000" w:rsidRDefault="005F67D9">
      <w:pPr>
        <w:spacing w:beforeLines="30" w:afterLines="30" w:line="440" w:lineRule="exact"/>
        <w:ind w:firstLineChars="200" w:firstLine="456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  <w:lang w:val="zh-CN"/>
        </w:rPr>
        <w:t>人工信息价、材料信息价参照顺序分别为</w:t>
      </w:r>
      <w:r>
        <w:rPr>
          <w:rFonts w:ascii="宋体" w:hAnsi="宋体"/>
          <w:sz w:val="24"/>
          <w:szCs w:val="24"/>
          <w:lang w:val="zh-CN"/>
        </w:rPr>
        <w:t>20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  <w:lang w:val="zh-CN"/>
        </w:rPr>
        <w:t>年第</w:t>
      </w:r>
      <w:r>
        <w:rPr>
          <w:rFonts w:ascii="宋体" w:hAnsi="宋体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  <w:lang w:val="zh-CN"/>
        </w:rPr>
        <w:t>期《宁波市建设工程造价信息》（综合版），《宁波市建设工程造价信息》（综合版）没有的信息价参照同期《浙江省建设工程造价信息》，无信息价材料按照有关文件并结合市场商情取定。</w:t>
      </w:r>
      <w:r>
        <w:rPr>
          <w:rFonts w:ascii="宋体" w:hAnsi="宋体" w:hint="eastAsia"/>
          <w:sz w:val="24"/>
          <w:szCs w:val="24"/>
        </w:rPr>
        <w:t>以上材料价格均按除税价计入</w:t>
      </w:r>
      <w:r>
        <w:rPr>
          <w:rFonts w:ascii="宋体" w:hAnsi="宋体" w:hint="eastAsia"/>
          <w:sz w:val="24"/>
          <w:szCs w:val="24"/>
        </w:rPr>
        <w:t>。</w:t>
      </w:r>
    </w:p>
    <w:p w:rsidR="00000000" w:rsidRDefault="005F67D9" w:rsidP="005F67D9">
      <w:pPr>
        <w:spacing w:beforeLines="30" w:afterLines="30" w:line="440" w:lineRule="exact"/>
        <w:ind w:firstLineChars="200" w:firstLine="458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四、土建部分编制说明</w:t>
      </w:r>
    </w:p>
    <w:p w:rsidR="00000000" w:rsidRDefault="005F67D9">
      <w:pPr>
        <w:spacing w:beforeLines="30" w:afterLines="30" w:line="440" w:lineRule="exact"/>
        <w:ind w:firstLineChars="200" w:firstLine="456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本工程的混凝土均采用商品混凝土，砂浆全部采用预拌砂浆，</w:t>
      </w:r>
      <w:r>
        <w:rPr>
          <w:rFonts w:ascii="宋体" w:hAnsi="宋体" w:hint="eastAsia"/>
          <w:sz w:val="24"/>
          <w:szCs w:val="24"/>
        </w:rPr>
        <w:t>项目特征中砂浆按下表进行替换。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30"/>
        <w:gridCol w:w="1851"/>
        <w:gridCol w:w="5406"/>
      </w:tblGrid>
      <w:tr w:rsidR="00000000">
        <w:trPr>
          <w:trHeight w:val="264"/>
          <w:tblCellSpacing w:w="0" w:type="dxa"/>
          <w:jc w:val="center"/>
        </w:trPr>
        <w:tc>
          <w:tcPr>
            <w:tcW w:w="1830" w:type="dxa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种类</w:t>
            </w: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预拌砂浆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传统砂浆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1830" w:type="dxa"/>
            <w:vMerge w:val="restart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砌筑砂浆</w:t>
            </w: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DM5.0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50" w:firstLine="1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M5.0</w:t>
            </w:r>
            <w:r>
              <w:rPr>
                <w:rFonts w:ascii="宋体" w:hAnsi="宋体" w:hint="eastAsia"/>
                <w:sz w:val="24"/>
                <w:szCs w:val="24"/>
              </w:rPr>
              <w:t>混合砂浆、</w:t>
            </w:r>
            <w:r>
              <w:rPr>
                <w:rFonts w:ascii="宋体" w:hAnsi="宋体"/>
                <w:sz w:val="24"/>
                <w:szCs w:val="24"/>
              </w:rPr>
              <w:t>M5.0</w:t>
            </w:r>
            <w:r>
              <w:rPr>
                <w:rFonts w:ascii="宋体" w:hAnsi="宋体" w:hint="eastAsia"/>
                <w:sz w:val="24"/>
                <w:szCs w:val="24"/>
              </w:rPr>
              <w:t>水泥砂浆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1830" w:type="dxa"/>
            <w:vMerge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DM7.5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50" w:firstLine="1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M7.5</w:t>
            </w:r>
            <w:r>
              <w:rPr>
                <w:rFonts w:ascii="宋体" w:hAnsi="宋体" w:hint="eastAsia"/>
                <w:sz w:val="24"/>
                <w:szCs w:val="24"/>
              </w:rPr>
              <w:t>混合砂浆、</w:t>
            </w:r>
            <w:r>
              <w:rPr>
                <w:rFonts w:ascii="宋体" w:hAnsi="宋体"/>
                <w:sz w:val="24"/>
                <w:szCs w:val="24"/>
              </w:rPr>
              <w:t>M7.5</w:t>
            </w:r>
            <w:r>
              <w:rPr>
                <w:rFonts w:ascii="宋体" w:hAnsi="宋体" w:hint="eastAsia"/>
                <w:sz w:val="24"/>
                <w:szCs w:val="24"/>
              </w:rPr>
              <w:t>水泥砂浆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1830" w:type="dxa"/>
            <w:vMerge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DM10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50" w:firstLine="1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M10</w:t>
            </w:r>
            <w:r>
              <w:rPr>
                <w:rFonts w:ascii="宋体" w:hAnsi="宋体" w:hint="eastAsia"/>
                <w:sz w:val="24"/>
                <w:szCs w:val="24"/>
              </w:rPr>
              <w:t>混合砂浆、</w:t>
            </w:r>
            <w:r>
              <w:rPr>
                <w:rFonts w:ascii="宋体" w:hAnsi="宋体"/>
                <w:sz w:val="24"/>
                <w:szCs w:val="24"/>
              </w:rPr>
              <w:t>M10</w:t>
            </w:r>
            <w:r>
              <w:rPr>
                <w:rFonts w:ascii="宋体" w:hAnsi="宋体" w:hint="eastAsia"/>
                <w:sz w:val="24"/>
                <w:szCs w:val="24"/>
              </w:rPr>
              <w:t>水泥砂浆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1830" w:type="dxa"/>
            <w:vMerge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DM15.0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50" w:firstLine="1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M15.0</w:t>
            </w:r>
            <w:r>
              <w:rPr>
                <w:rFonts w:ascii="宋体" w:hAnsi="宋体" w:hint="eastAsia"/>
                <w:sz w:val="24"/>
                <w:szCs w:val="24"/>
              </w:rPr>
              <w:t>混合砂浆、</w:t>
            </w:r>
            <w:r>
              <w:rPr>
                <w:rFonts w:ascii="宋体" w:hAnsi="宋体"/>
                <w:sz w:val="24"/>
                <w:szCs w:val="24"/>
              </w:rPr>
              <w:t>M15.0</w:t>
            </w:r>
            <w:r>
              <w:rPr>
                <w:rFonts w:ascii="宋体" w:hAnsi="宋体" w:hint="eastAsia"/>
                <w:sz w:val="24"/>
                <w:szCs w:val="24"/>
              </w:rPr>
              <w:t>水泥砂浆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1830" w:type="dxa"/>
            <w:vMerge w:val="restart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抹灰砂浆</w:t>
            </w: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DP5.0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50" w:firstLine="1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1:1:6</w:t>
            </w:r>
            <w:r>
              <w:rPr>
                <w:rFonts w:ascii="宋体" w:hAnsi="宋体" w:hint="eastAsia"/>
                <w:sz w:val="24"/>
                <w:szCs w:val="24"/>
              </w:rPr>
              <w:t>混合砂浆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1830" w:type="dxa"/>
            <w:vMerge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DP10.0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50" w:firstLine="1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1:1:4</w:t>
            </w:r>
            <w:r>
              <w:rPr>
                <w:rFonts w:ascii="宋体" w:hAnsi="宋体" w:hint="eastAsia"/>
                <w:sz w:val="24"/>
                <w:szCs w:val="24"/>
              </w:rPr>
              <w:t>混合砂浆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1830" w:type="dxa"/>
            <w:vMerge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DP15.0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50" w:firstLine="1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1:3</w:t>
            </w:r>
            <w:r>
              <w:rPr>
                <w:rFonts w:ascii="宋体" w:hAnsi="宋体" w:hint="eastAsia"/>
                <w:sz w:val="24"/>
                <w:szCs w:val="24"/>
              </w:rPr>
              <w:t>水泥砂浆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1830" w:type="dxa"/>
            <w:vMerge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DP20.0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50" w:firstLine="1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1:2</w:t>
            </w:r>
            <w:r>
              <w:rPr>
                <w:rFonts w:ascii="宋体" w:hAnsi="宋体" w:hint="eastAsia"/>
                <w:sz w:val="24"/>
                <w:szCs w:val="24"/>
              </w:rPr>
              <w:t>水泥砂浆、</w:t>
            </w:r>
            <w:r>
              <w:rPr>
                <w:rFonts w:ascii="宋体" w:hAnsi="宋体"/>
                <w:sz w:val="24"/>
                <w:szCs w:val="24"/>
              </w:rPr>
              <w:t>1:2.5</w:t>
            </w:r>
            <w:r>
              <w:rPr>
                <w:rFonts w:ascii="宋体" w:hAnsi="宋体" w:hint="eastAsia"/>
                <w:sz w:val="24"/>
                <w:szCs w:val="24"/>
              </w:rPr>
              <w:t>水泥砂浆、</w:t>
            </w:r>
            <w:r>
              <w:rPr>
                <w:rFonts w:ascii="宋体" w:hAnsi="宋体"/>
                <w:sz w:val="24"/>
                <w:szCs w:val="24"/>
              </w:rPr>
              <w:t>1:1:2</w:t>
            </w:r>
            <w:r>
              <w:rPr>
                <w:rFonts w:ascii="宋体" w:hAnsi="宋体" w:hint="eastAsia"/>
                <w:sz w:val="24"/>
                <w:szCs w:val="24"/>
              </w:rPr>
              <w:t>混合砂浆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1830" w:type="dxa"/>
            <w:vMerge w:val="restart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地面砂浆</w:t>
            </w: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DS15.0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50" w:firstLine="1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1:3</w:t>
            </w:r>
            <w:r>
              <w:rPr>
                <w:rFonts w:ascii="宋体" w:hAnsi="宋体" w:hint="eastAsia"/>
                <w:sz w:val="24"/>
                <w:szCs w:val="24"/>
              </w:rPr>
              <w:t>水泥砂浆</w:t>
            </w:r>
          </w:p>
        </w:tc>
      </w:tr>
      <w:tr w:rsidR="00000000">
        <w:trPr>
          <w:trHeight w:val="343"/>
          <w:tblCellSpacing w:w="0" w:type="dxa"/>
          <w:jc w:val="center"/>
        </w:trPr>
        <w:tc>
          <w:tcPr>
            <w:tcW w:w="1830" w:type="dxa"/>
            <w:vMerge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200" w:firstLine="4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DS20.0</w:t>
            </w:r>
          </w:p>
        </w:tc>
        <w:tc>
          <w:tcPr>
            <w:tcW w:w="5406" w:type="dxa"/>
            <w:vAlign w:val="center"/>
          </w:tcPr>
          <w:p w:rsidR="00000000" w:rsidRDefault="005F67D9" w:rsidP="005F67D9">
            <w:pPr>
              <w:tabs>
                <w:tab w:val="left" w:pos="3060"/>
                <w:tab w:val="left" w:pos="9180"/>
                <w:tab w:val="left" w:pos="9360"/>
              </w:tabs>
              <w:spacing w:line="440" w:lineRule="exact"/>
              <w:ind w:rightChars="65" w:right="129" w:firstLineChars="50" w:firstLine="11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1:2</w:t>
            </w:r>
            <w:r>
              <w:rPr>
                <w:rFonts w:ascii="宋体" w:hAnsi="宋体" w:hint="eastAsia"/>
                <w:sz w:val="24"/>
                <w:szCs w:val="24"/>
              </w:rPr>
              <w:t>水泥砂浆、</w:t>
            </w:r>
            <w:r>
              <w:rPr>
                <w:rFonts w:ascii="宋体" w:hAnsi="宋体"/>
                <w:sz w:val="24"/>
                <w:szCs w:val="24"/>
              </w:rPr>
              <w:t>1:2.5</w:t>
            </w:r>
            <w:r>
              <w:rPr>
                <w:rFonts w:ascii="宋体" w:hAnsi="宋体" w:hint="eastAsia"/>
                <w:sz w:val="24"/>
                <w:szCs w:val="24"/>
              </w:rPr>
              <w:t>水泥砂浆</w:t>
            </w:r>
          </w:p>
        </w:tc>
      </w:tr>
    </w:tbl>
    <w:p w:rsidR="00000000" w:rsidRDefault="005F67D9">
      <w:pPr>
        <w:spacing w:beforeLines="30" w:afterLines="30" w:line="440" w:lineRule="exact"/>
        <w:ind w:firstLineChars="200" w:firstLine="456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本工程所有预制钢构件均按购入成品到场考虑。</w:t>
      </w:r>
    </w:p>
    <w:p w:rsidR="00000000" w:rsidRDefault="005F67D9">
      <w:pPr>
        <w:spacing w:beforeLines="30" w:afterLines="30" w:line="440" w:lineRule="exact"/>
        <w:ind w:firstLine="45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本工程防水透气层按</w:t>
      </w:r>
      <w:r>
        <w:rPr>
          <w:rFonts w:ascii="宋体" w:hAnsi="宋体"/>
          <w:sz w:val="24"/>
          <w:szCs w:val="24"/>
        </w:rPr>
        <w:t>0.3mmPE</w:t>
      </w:r>
      <w:r>
        <w:rPr>
          <w:rFonts w:ascii="宋体" w:hAnsi="宋体" w:hint="eastAsia"/>
          <w:sz w:val="24"/>
          <w:szCs w:val="24"/>
        </w:rPr>
        <w:t>膜计入。</w:t>
      </w:r>
    </w:p>
    <w:p w:rsidR="00000000" w:rsidRDefault="005F67D9">
      <w:pPr>
        <w:spacing w:beforeLines="30" w:afterLines="30" w:line="440" w:lineRule="exact"/>
        <w:ind w:firstLine="45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本工程天沟按</w:t>
      </w:r>
      <w:r>
        <w:rPr>
          <w:rFonts w:ascii="宋体" w:hAnsi="宋体"/>
          <w:sz w:val="24"/>
          <w:szCs w:val="24"/>
        </w:rPr>
        <w:t>0.6</w:t>
      </w:r>
      <w:r>
        <w:rPr>
          <w:rFonts w:ascii="宋体" w:hAnsi="宋体" w:hint="eastAsia"/>
          <w:sz w:val="24"/>
          <w:szCs w:val="24"/>
        </w:rPr>
        <w:t>厚热镀锌彩钢板计入。</w:t>
      </w:r>
    </w:p>
    <w:p w:rsidR="00000000" w:rsidRDefault="005F67D9">
      <w:pPr>
        <w:spacing w:beforeLines="30" w:afterLines="30" w:line="440" w:lineRule="exact"/>
        <w:ind w:firstLine="45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根据现场踏勘，外墙及屋面钢结构等用汽车式起重机吊装考虑，汽车式起重机按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台班最大起重量为</w:t>
      </w:r>
      <w:r>
        <w:rPr>
          <w:rFonts w:ascii="宋体" w:hAnsi="宋体"/>
          <w:sz w:val="24"/>
          <w:szCs w:val="24"/>
        </w:rPr>
        <w:t>50</w:t>
      </w:r>
      <w:r>
        <w:rPr>
          <w:rFonts w:ascii="宋体" w:hAnsi="宋体" w:hint="eastAsia"/>
          <w:sz w:val="24"/>
          <w:szCs w:val="24"/>
        </w:rPr>
        <w:t>吨的计入，结算时按实调整。</w:t>
      </w:r>
    </w:p>
    <w:p w:rsidR="00000000" w:rsidRDefault="005F67D9">
      <w:pPr>
        <w:spacing w:beforeLines="30" w:afterLines="30" w:line="440" w:lineRule="exact"/>
        <w:ind w:firstLine="45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根据建设单位要求，施工现场不可预见费按</w:t>
      </w:r>
      <w:r>
        <w:rPr>
          <w:rFonts w:ascii="宋体" w:hAnsi="宋体"/>
          <w:sz w:val="24"/>
          <w:szCs w:val="24"/>
        </w:rPr>
        <w:t>3000</w:t>
      </w:r>
      <w:r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项（除税价）计入，结算按实调整。</w:t>
      </w:r>
    </w:p>
    <w:p w:rsidR="00000000" w:rsidRDefault="005F67D9">
      <w:pPr>
        <w:spacing w:beforeLines="30" w:afterLines="30" w:line="440" w:lineRule="exact"/>
        <w:ind w:firstLine="45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根据建设单位要求，施</w:t>
      </w:r>
      <w:r>
        <w:rPr>
          <w:rFonts w:ascii="宋体" w:hAnsi="宋体" w:hint="eastAsia"/>
          <w:sz w:val="24"/>
          <w:szCs w:val="24"/>
        </w:rPr>
        <w:t>工场地范围内空调移位及修复、排气管修复延长、原有建筑拆除清理等，建筑垃圾外运及处置，残值回收，全部费用投标单位自行考虑报价并包干，结算不作调整。</w:t>
      </w:r>
    </w:p>
    <w:p w:rsidR="00000000" w:rsidRDefault="005F67D9">
      <w:pPr>
        <w:spacing w:beforeLines="30" w:afterLines="30" w:line="440" w:lineRule="exact"/>
        <w:ind w:firstLine="45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ascii="宋体" w:hAnsi="宋体" w:hint="eastAsia"/>
          <w:sz w:val="24"/>
          <w:szCs w:val="24"/>
        </w:rPr>
        <w:t>本工程中</w:t>
      </w:r>
      <w:r>
        <w:rPr>
          <w:rFonts w:ascii="宋体" w:hAnsi="宋体" w:hint="eastAsia"/>
          <w:sz w:val="24"/>
          <w:szCs w:val="24"/>
        </w:rPr>
        <w:t>≥</w:t>
      </w:r>
      <w:r>
        <w:rPr>
          <w:rFonts w:ascii="宋体" w:hAnsi="宋体"/>
          <w:sz w:val="24"/>
          <w:szCs w:val="24"/>
        </w:rPr>
        <w:t>0.6</w:t>
      </w:r>
      <w:r>
        <w:rPr>
          <w:rFonts w:ascii="宋体" w:hAnsi="宋体" w:hint="eastAsia"/>
          <w:sz w:val="24"/>
          <w:szCs w:val="24"/>
        </w:rPr>
        <w:t>厚彩钢板按</w:t>
      </w:r>
      <w:r>
        <w:rPr>
          <w:rFonts w:ascii="宋体" w:hAnsi="宋体"/>
          <w:sz w:val="24"/>
          <w:szCs w:val="24"/>
        </w:rPr>
        <w:t>0.6</w:t>
      </w:r>
      <w:r>
        <w:rPr>
          <w:rFonts w:ascii="宋体" w:hAnsi="宋体" w:hint="eastAsia"/>
          <w:sz w:val="24"/>
          <w:szCs w:val="24"/>
        </w:rPr>
        <w:t>厚计入，</w:t>
      </w:r>
      <w:r>
        <w:rPr>
          <w:rFonts w:ascii="宋体" w:hAnsi="宋体" w:hint="eastAsia"/>
          <w:sz w:val="24"/>
          <w:szCs w:val="24"/>
        </w:rPr>
        <w:t>≥</w:t>
      </w:r>
      <w:r>
        <w:rPr>
          <w:rFonts w:ascii="宋体" w:hAnsi="宋体"/>
          <w:sz w:val="24"/>
          <w:szCs w:val="24"/>
        </w:rPr>
        <w:t>0.5</w:t>
      </w:r>
      <w:r>
        <w:rPr>
          <w:rFonts w:ascii="宋体" w:hAnsi="宋体" w:hint="eastAsia"/>
          <w:sz w:val="24"/>
          <w:szCs w:val="24"/>
        </w:rPr>
        <w:t>厚彩钢板按</w:t>
      </w:r>
      <w:r>
        <w:rPr>
          <w:rFonts w:ascii="宋体" w:hAnsi="宋体"/>
          <w:sz w:val="24"/>
          <w:szCs w:val="24"/>
        </w:rPr>
        <w:t>0.5</w:t>
      </w:r>
      <w:r>
        <w:rPr>
          <w:rFonts w:ascii="宋体" w:hAnsi="宋体" w:hint="eastAsia"/>
          <w:sz w:val="24"/>
          <w:szCs w:val="24"/>
        </w:rPr>
        <w:t>厚计入。</w:t>
      </w:r>
    </w:p>
    <w:p w:rsidR="00000000" w:rsidRDefault="005F67D9" w:rsidP="005F67D9">
      <w:pPr>
        <w:spacing w:beforeLines="30" w:afterLines="30" w:line="440" w:lineRule="exact"/>
        <w:ind w:firstLineChars="200" w:firstLine="458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五、安装部分编制说明</w:t>
      </w:r>
    </w:p>
    <w:p w:rsidR="00000000" w:rsidRDefault="005F67D9">
      <w:pPr>
        <w:spacing w:beforeLines="30" w:afterLines="30" w:line="440" w:lineRule="exact"/>
        <w:ind w:firstLine="45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电气配管配线引自原有楼层配电箱，由于平面图中未体现，工程量出墙后暂按</w:t>
      </w:r>
      <w:r>
        <w:rPr>
          <w:rFonts w:ascii="宋体" w:hAnsi="宋体"/>
          <w:sz w:val="24"/>
          <w:szCs w:val="24"/>
        </w:rPr>
        <w:t>20m/</w:t>
      </w:r>
      <w:r>
        <w:rPr>
          <w:rFonts w:ascii="宋体" w:hAnsi="宋体" w:hint="eastAsia"/>
          <w:sz w:val="24"/>
          <w:szCs w:val="24"/>
        </w:rPr>
        <w:t>处考虑计入。</w:t>
      </w:r>
    </w:p>
    <w:p w:rsidR="00000000" w:rsidRDefault="005F67D9">
      <w:pPr>
        <w:spacing w:beforeLines="30" w:afterLines="30" w:line="440" w:lineRule="exact"/>
        <w:ind w:firstLine="45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双口网路插足处按</w:t>
      </w:r>
      <w:r>
        <w:rPr>
          <w:rFonts w:ascii="宋体" w:hAnsi="宋体"/>
          <w:sz w:val="24"/>
          <w:szCs w:val="24"/>
        </w:rPr>
        <w:t>2*Cat6/JDG20</w:t>
      </w:r>
      <w:r>
        <w:rPr>
          <w:rFonts w:ascii="宋体" w:hAnsi="宋体" w:hint="eastAsia"/>
          <w:sz w:val="24"/>
          <w:szCs w:val="24"/>
        </w:rPr>
        <w:t>考虑计入。</w:t>
      </w:r>
    </w:p>
    <w:p w:rsidR="00000000" w:rsidRDefault="005F67D9">
      <w:pPr>
        <w:spacing w:beforeLines="30" w:afterLines="30" w:line="440" w:lineRule="exact"/>
        <w:ind w:firstLineChars="200" w:firstLine="456"/>
        <w:rPr>
          <w:rFonts w:ascii="宋体" w:hAnsi="宋体"/>
          <w:sz w:val="24"/>
          <w:szCs w:val="24"/>
        </w:rPr>
      </w:pPr>
    </w:p>
    <w:p w:rsidR="00000000" w:rsidRDefault="005F67D9">
      <w:pPr>
        <w:spacing w:beforeLines="30" w:afterLines="30" w:line="440" w:lineRule="exact"/>
        <w:ind w:firstLineChars="200" w:firstLine="456"/>
        <w:rPr>
          <w:rFonts w:ascii="宋体" w:hAnsi="宋体"/>
          <w:color w:val="FF0000"/>
          <w:sz w:val="24"/>
          <w:szCs w:val="24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851" w:footer="851" w:gutter="0"/>
      <w:cols w:space="720"/>
      <w:docGrid w:type="linesAndChars" w:linePitch="367" w:charSpace="-24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5F67D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1">
    <w:p w:rsidR="00000000" w:rsidRDefault="005F67D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F67D9">
    <w:pPr>
      <w:pStyle w:val="a8"/>
      <w:jc w:val="center"/>
      <w:rPr>
        <w:rFonts w:eastAsia="Times New Roman"/>
      </w:rPr>
    </w:pPr>
    <w:r>
      <w:rPr>
        <w:rFonts w:hint="eastAsia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页</w:t>
    </w:r>
    <w:r>
      <w:rPr>
        <w:kern w:val="0"/>
      </w:rPr>
      <w:t xml:space="preserve"> </w:t>
    </w:r>
    <w:r>
      <w:rPr>
        <w:rFonts w:hint="eastAsia"/>
        <w:kern w:val="0"/>
      </w:rPr>
      <w:t>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5F67D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1">
    <w:p w:rsidR="00000000" w:rsidRDefault="005F67D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F67D9">
    <w:pPr>
      <w:pStyle w:val="a7"/>
      <w:pBdr>
        <w:bottom w:val="none" w:sz="0" w:space="0" w:color="auto"/>
      </w:pBdr>
      <w:rPr>
        <w:rFonts w:eastAsia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HorizontalSpacing w:val="99"/>
  <w:drawingGridVerticalSpacing w:val="367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5F67D9"/>
    <w:rsid w:val="00000000"/>
    <w:rsid w:val="005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0" w:defUnhideWhenUsed="0" w:defQFormat="1" w:count="267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unhideWhenUsed="1" w:qFormat="0"/>
    <w:lsdException w:name="footer" w:locked="0" w:unhideWhenUsed="1" w:qFormat="0"/>
    <w:lsdException w:name="caption" w:semiHidden="1" w:uiPriority="35" w:unhideWhenUsed="1"/>
    <w:lsdException w:name="Title" w:uiPriority="10"/>
    <w:lsdException w:name="Default Paragraph Font" w:locked="0" w:unhideWhenUsed="1" w:qFormat="0"/>
    <w:lsdException w:name="Subtitle" w:uiPriority="11"/>
    <w:lsdException w:name="Date" w:locked="0" w:unhideWhenUsed="1" w:qFormat="0"/>
    <w:lsdException w:name="Strong" w:locked="0"/>
    <w:lsdException w:name="Emphasis" w:uiPriority="20"/>
    <w:lsdException w:name="Document Map" w:locked="0" w:unhideWhenUsed="1" w:qFormat="0"/>
    <w:lsdException w:name="HTML Top of Form" w:locked="0" w:semiHidden="1" w:unhideWhenUsed="1" w:qFormat="0"/>
    <w:lsdException w:name="HTML Bottom of Form" w:locked="0" w:semiHidden="1" w:unhideWhenUsed="1" w:qFormat="0"/>
    <w:lsdException w:name="Normal (Web)" w:locked="0" w:unhideWhenUsed="1" w:qFormat="0"/>
    <w:lsdException w:name="Normal Table" w:locked="0"/>
    <w:lsdException w:name="No List" w:locked="0" w:semiHidden="1" w:unhideWhenUsed="1" w:qFormat="0"/>
    <w:lsdException w:name="Outline List 1" w:locked="0" w:semiHidden="1" w:unhideWhenUsed="1" w:qFormat="0"/>
    <w:lsdException w:name="Outline List 2" w:locked="0" w:semiHidden="1" w:unhideWhenUsed="1" w:qFormat="0"/>
    <w:lsdException w:name="Outline List 3" w:locked="0" w:semiHidden="1" w:unhideWhenUsed="1" w:qFormat="0"/>
    <w:lsdException w:name="Table Simple 1" w:locked="0"/>
    <w:lsdException w:name="Balloon Text" w:locked="0" w:unhideWhenUsed="1" w:qFormat="0"/>
    <w:lsdException w:name="Table Grid" w:uiPriority="59"/>
    <w:lsdException w:name="Placeholder Text" w:locked="0" w:semiHidden="1" w:unhideWhenUsed="1" w:qFormat="0"/>
    <w:lsdException w:name="No Spacing" w:locked="0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nhideWhenUsed="1" w:qFormat="0"/>
    <w:lsdException w:name="List Paragraph" w:locked="0"/>
    <w:lsdException w:name="Quote" w:locked="0"/>
    <w:lsdException w:name="Intense Quote" w:locked="0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 w:qFormat="0"/>
    <w:lsdException w:name="TOC Heading" w:locked="0" w:semiHidden="1" w:uiPriority="3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页脚 Char2"/>
    <w:basedOn w:val="a0"/>
    <w:uiPriority w:val="99"/>
    <w:unhideWhenUsed/>
    <w:rPr>
      <w:sz w:val="18"/>
    </w:rPr>
  </w:style>
  <w:style w:type="character" w:customStyle="1" w:styleId="Char4">
    <w:name w:val="页脚 Char4"/>
    <w:basedOn w:val="a0"/>
    <w:uiPriority w:val="99"/>
    <w:unhideWhenUsed/>
    <w:locked/>
    <w:rPr>
      <w:rFonts w:ascii="宋体"/>
      <w:sz w:val="18"/>
    </w:rPr>
  </w:style>
  <w:style w:type="character" w:customStyle="1" w:styleId="Char1">
    <w:name w:val="批注框文本 Char1"/>
    <w:basedOn w:val="a0"/>
    <w:link w:val="a3"/>
    <w:uiPriority w:val="99"/>
    <w:unhideWhenUsed/>
    <w:locked/>
    <w:rPr>
      <w:rFonts w:ascii="宋体"/>
      <w:sz w:val="18"/>
    </w:rPr>
  </w:style>
  <w:style w:type="character" w:styleId="a4">
    <w:name w:val="Strong"/>
    <w:basedOn w:val="a0"/>
    <w:uiPriority w:val="99"/>
    <w:qFormat/>
    <w:rPr>
      <w:b/>
    </w:rPr>
  </w:style>
  <w:style w:type="character" w:customStyle="1" w:styleId="Char5">
    <w:name w:val="文档结构图 Char5"/>
    <w:basedOn w:val="a0"/>
    <w:link w:val="a5"/>
    <w:uiPriority w:val="99"/>
    <w:unhideWhenUsed/>
    <w:locked/>
    <w:rPr>
      <w:rFonts w:ascii="宋体"/>
      <w:sz w:val="18"/>
    </w:rPr>
  </w:style>
  <w:style w:type="character" w:customStyle="1" w:styleId="Char40">
    <w:name w:val="文档结构图 Char4"/>
    <w:basedOn w:val="a0"/>
    <w:uiPriority w:val="99"/>
    <w:unhideWhenUsed/>
    <w:locked/>
    <w:rPr>
      <w:rFonts w:ascii="宋体"/>
      <w:sz w:val="18"/>
    </w:rPr>
  </w:style>
  <w:style w:type="character" w:customStyle="1" w:styleId="Char10">
    <w:name w:val="日期 Char1"/>
    <w:basedOn w:val="a0"/>
    <w:link w:val="a6"/>
    <w:uiPriority w:val="99"/>
    <w:unhideWhenUsed/>
    <w:locked/>
    <w:rPr>
      <w:rFonts w:ascii="宋体"/>
      <w:sz w:val="21"/>
    </w:rPr>
  </w:style>
  <w:style w:type="character" w:customStyle="1" w:styleId="Char">
    <w:name w:val="日期 Char"/>
    <w:basedOn w:val="a0"/>
    <w:link w:val="a6"/>
    <w:uiPriority w:val="99"/>
    <w:unhideWhenUsed/>
    <w:locked/>
    <w:rPr>
      <w:rFonts w:ascii="宋体"/>
    </w:rPr>
  </w:style>
  <w:style w:type="character" w:customStyle="1" w:styleId="Char20">
    <w:name w:val="日期 Char2"/>
    <w:basedOn w:val="a0"/>
    <w:uiPriority w:val="99"/>
    <w:unhideWhenUsed/>
  </w:style>
  <w:style w:type="character" w:customStyle="1" w:styleId="Char0">
    <w:name w:val="页眉 Char"/>
    <w:basedOn w:val="a0"/>
    <w:link w:val="a7"/>
    <w:uiPriority w:val="99"/>
    <w:unhideWhenUsed/>
    <w:locked/>
    <w:rPr>
      <w:rFonts w:ascii="宋体"/>
      <w:sz w:val="18"/>
    </w:rPr>
  </w:style>
  <w:style w:type="character" w:customStyle="1" w:styleId="Char11">
    <w:name w:val="页眉 Char1"/>
    <w:basedOn w:val="a0"/>
    <w:link w:val="a7"/>
    <w:uiPriority w:val="99"/>
    <w:unhideWhenUsed/>
    <w:locked/>
    <w:rPr>
      <w:rFonts w:ascii="宋体"/>
      <w:sz w:val="18"/>
    </w:rPr>
  </w:style>
  <w:style w:type="character" w:customStyle="1" w:styleId="Char21">
    <w:name w:val="批注框文本 Char2"/>
    <w:basedOn w:val="a0"/>
    <w:uiPriority w:val="99"/>
    <w:unhideWhenUsed/>
    <w:locked/>
    <w:rPr>
      <w:rFonts w:ascii="宋体"/>
      <w:sz w:val="18"/>
    </w:rPr>
  </w:style>
  <w:style w:type="character" w:customStyle="1" w:styleId="Char12">
    <w:name w:val="文档结构图 Char1"/>
    <w:basedOn w:val="a0"/>
    <w:uiPriority w:val="99"/>
    <w:unhideWhenUsed/>
    <w:locked/>
    <w:rPr>
      <w:rFonts w:ascii="宋体"/>
      <w:sz w:val="18"/>
    </w:rPr>
  </w:style>
  <w:style w:type="character" w:customStyle="1" w:styleId="Char22">
    <w:name w:val="文档结构图 Char2"/>
    <w:basedOn w:val="a0"/>
    <w:uiPriority w:val="99"/>
    <w:unhideWhenUsed/>
    <w:rPr>
      <w:rFonts w:ascii="宋体"/>
      <w:sz w:val="18"/>
    </w:rPr>
  </w:style>
  <w:style w:type="character" w:customStyle="1" w:styleId="Char3">
    <w:name w:val="文档结构图 Char"/>
    <w:basedOn w:val="a0"/>
    <w:link w:val="a5"/>
    <w:uiPriority w:val="99"/>
    <w:unhideWhenUsed/>
    <w:locked/>
    <w:rPr>
      <w:rFonts w:ascii="宋体"/>
      <w:sz w:val="18"/>
    </w:rPr>
  </w:style>
  <w:style w:type="character" w:customStyle="1" w:styleId="Char6">
    <w:name w:val="批注框文本 Char"/>
    <w:basedOn w:val="a0"/>
    <w:link w:val="a3"/>
    <w:uiPriority w:val="99"/>
    <w:unhideWhenUsed/>
    <w:locked/>
    <w:rPr>
      <w:rFonts w:ascii="宋体"/>
      <w:sz w:val="18"/>
    </w:rPr>
  </w:style>
  <w:style w:type="character" w:customStyle="1" w:styleId="Char30">
    <w:name w:val="文档结构图 Char3"/>
    <w:basedOn w:val="a0"/>
    <w:uiPriority w:val="99"/>
    <w:unhideWhenUsed/>
    <w:locked/>
    <w:rPr>
      <w:rFonts w:ascii="宋体"/>
      <w:sz w:val="18"/>
    </w:rPr>
  </w:style>
  <w:style w:type="character" w:customStyle="1" w:styleId="font51">
    <w:name w:val="font51"/>
    <w:uiPriority w:val="99"/>
    <w:unhideWhenUsed/>
    <w:rPr>
      <w:rFonts w:ascii="宋体"/>
      <w:color w:val="000000"/>
      <w:sz w:val="22"/>
    </w:rPr>
  </w:style>
  <w:style w:type="character" w:customStyle="1" w:styleId="Char7">
    <w:name w:val="页脚 Char"/>
    <w:basedOn w:val="a0"/>
    <w:link w:val="a8"/>
    <w:uiPriority w:val="99"/>
    <w:unhideWhenUsed/>
    <w:locked/>
    <w:rPr>
      <w:rFonts w:ascii="宋体"/>
      <w:sz w:val="18"/>
    </w:rPr>
  </w:style>
  <w:style w:type="character" w:customStyle="1" w:styleId="Char23">
    <w:name w:val="页眉 Char2"/>
    <w:basedOn w:val="a0"/>
    <w:uiPriority w:val="99"/>
    <w:unhideWhenUsed/>
    <w:locked/>
    <w:rPr>
      <w:rFonts w:ascii="宋体"/>
      <w:sz w:val="18"/>
    </w:rPr>
  </w:style>
  <w:style w:type="character" w:customStyle="1" w:styleId="Char13">
    <w:name w:val="页脚 Char1"/>
    <w:basedOn w:val="a0"/>
    <w:link w:val="a8"/>
    <w:uiPriority w:val="99"/>
    <w:unhideWhenUsed/>
    <w:locked/>
    <w:rPr>
      <w:rFonts w:ascii="宋体"/>
      <w:sz w:val="18"/>
    </w:rPr>
  </w:style>
  <w:style w:type="paragraph" w:customStyle="1" w:styleId="CharCharCharChar">
    <w:name w:val="Char Char Char Char"/>
    <w:basedOn w:val="a"/>
    <w:uiPriority w:val="99"/>
    <w:unhideWhenUsed/>
    <w:pPr>
      <w:shd w:val="clear" w:color="auto" w:fill="000080"/>
    </w:pPr>
    <w:rPr>
      <w:szCs w:val="24"/>
    </w:rPr>
  </w:style>
  <w:style w:type="paragraph" w:customStyle="1" w:styleId="Char8">
    <w:name w:val="Char"/>
    <w:basedOn w:val="a"/>
    <w:uiPriority w:val="99"/>
    <w:unhideWhenUsed/>
    <w:rPr>
      <w:szCs w:val="24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7">
    <w:name w:val="header"/>
    <w:basedOn w:val="a"/>
    <w:link w:val="Char1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Char31">
    <w:name w:val="页眉 Char3"/>
    <w:basedOn w:val="a0"/>
    <w:link w:val="a7"/>
    <w:uiPriority w:val="99"/>
    <w:semiHidden/>
    <w:rPr>
      <w:rFonts w:cs="Times New Roman"/>
      <w:sz w:val="18"/>
      <w:szCs w:val="18"/>
    </w:rPr>
  </w:style>
  <w:style w:type="paragraph" w:styleId="a8">
    <w:name w:val="footer"/>
    <w:basedOn w:val="a"/>
    <w:link w:val="Char1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Char32">
    <w:name w:val="页脚 Char3"/>
    <w:basedOn w:val="a0"/>
    <w:link w:val="a8"/>
    <w:uiPriority w:val="99"/>
    <w:semiHidden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"/>
    <w:uiPriority w:val="99"/>
    <w:unhideWhenUsed/>
    <w:pPr>
      <w:ind w:leftChars="2500" w:left="100"/>
    </w:pPr>
    <w:rPr>
      <w:szCs w:val="24"/>
    </w:rPr>
  </w:style>
  <w:style w:type="character" w:customStyle="1" w:styleId="Char33">
    <w:name w:val="日期 Char3"/>
    <w:basedOn w:val="a0"/>
    <w:link w:val="a6"/>
    <w:uiPriority w:val="99"/>
    <w:semiHidden/>
    <w:rPr>
      <w:rFonts w:cs="Times New Roman"/>
      <w:szCs w:val="21"/>
    </w:rPr>
  </w:style>
  <w:style w:type="paragraph" w:styleId="a3">
    <w:name w:val="Balloon Text"/>
    <w:basedOn w:val="a"/>
    <w:link w:val="Char6"/>
    <w:uiPriority w:val="99"/>
    <w:unhideWhenUsed/>
    <w:rPr>
      <w:sz w:val="18"/>
      <w:szCs w:val="24"/>
    </w:rPr>
  </w:style>
  <w:style w:type="character" w:customStyle="1" w:styleId="Char34">
    <w:name w:val="批注框文本 Char3"/>
    <w:basedOn w:val="a0"/>
    <w:link w:val="a3"/>
    <w:uiPriority w:val="99"/>
    <w:semiHidden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p0">
    <w:name w:val="p0"/>
    <w:basedOn w:val="a"/>
    <w:uiPriority w:val="99"/>
    <w:unhideWhenUsed/>
    <w:pPr>
      <w:widowControl/>
      <w:spacing w:line="500" w:lineRule="atLeast"/>
    </w:pPr>
    <w:rPr>
      <w:szCs w:val="24"/>
    </w:rPr>
  </w:style>
  <w:style w:type="paragraph" w:customStyle="1" w:styleId="CharCharCharChar1">
    <w:name w:val="Char Char Char Char1"/>
    <w:basedOn w:val="a"/>
    <w:uiPriority w:val="99"/>
    <w:unhideWhenUsed/>
    <w:pPr>
      <w:shd w:val="clear" w:color="auto" w:fill="000080"/>
    </w:pPr>
    <w:rPr>
      <w:rFonts w:ascii="Tahoma" w:hAnsi="Tahoma"/>
      <w:sz w:val="24"/>
      <w:szCs w:val="24"/>
    </w:rPr>
  </w:style>
  <w:style w:type="paragraph" w:styleId="a5">
    <w:name w:val="Document Map"/>
    <w:basedOn w:val="a"/>
    <w:link w:val="Char3"/>
    <w:uiPriority w:val="99"/>
    <w:unhideWhenUsed/>
    <w:pPr>
      <w:shd w:val="clear" w:color="auto" w:fill="000080"/>
    </w:pPr>
    <w:rPr>
      <w:szCs w:val="24"/>
    </w:rPr>
  </w:style>
  <w:style w:type="character" w:customStyle="1" w:styleId="Char60">
    <w:name w:val="文档结构图 Char6"/>
    <w:basedOn w:val="a0"/>
    <w:link w:val="a5"/>
    <w:uiPriority w:val="99"/>
    <w:semiHidden/>
    <w:rPr>
      <w:rFonts w:ascii="宋体" w:cs="Times New Roman"/>
      <w:sz w:val="18"/>
      <w:szCs w:val="18"/>
    </w:rPr>
  </w:style>
  <w:style w:type="paragraph" w:customStyle="1" w:styleId="CharChar2">
    <w:name w:val="Char Char2"/>
    <w:basedOn w:val="a"/>
    <w:uiPriority w:val="99"/>
    <w:unhideWhenUsed/>
    <w:pPr>
      <w:widowControl/>
      <w:spacing w:line="400" w:lineRule="exact"/>
      <w:jc w:val="center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admin</cp:lastModifiedBy>
  <cp:revision>2</cp:revision>
  <dcterms:created xsi:type="dcterms:W3CDTF">2021-01-18T07:20:00Z</dcterms:created>
  <dcterms:modified xsi:type="dcterms:W3CDTF">2021-01-18T07:20:00Z</dcterms:modified>
</cp:coreProperties>
</file>