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5F" w:rsidRPr="00F020C2" w:rsidRDefault="0022015F" w:rsidP="0022015F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宁波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大学附属人民医院</w:t>
      </w:r>
      <w:r w:rsidRPr="00192612">
        <w:rPr>
          <w:rFonts w:asciiTheme="minorEastAsia" w:hAnsiTheme="minorEastAsia" w:cs="宋体" w:hint="eastAsia"/>
          <w:b/>
          <w:kern w:val="0"/>
          <w:sz w:val="32"/>
          <w:szCs w:val="32"/>
        </w:rPr>
        <w:t>新冠病毒抗体检测试剂盒等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部分医用耗材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院内</w:t>
      </w:r>
      <w:r w:rsidRPr="00317B0A">
        <w:rPr>
          <w:rFonts w:asciiTheme="minorEastAsia" w:hAnsiTheme="minorEastAsia" w:cs="宋体" w:hint="eastAsia"/>
          <w:b/>
          <w:kern w:val="0"/>
          <w:sz w:val="32"/>
          <w:szCs w:val="32"/>
        </w:rPr>
        <w:t>议标公告</w:t>
      </w:r>
    </w:p>
    <w:p w:rsidR="000401FD" w:rsidRDefault="0022015F" w:rsidP="0022015F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议标品目：</w:t>
      </w:r>
    </w:p>
    <w:tbl>
      <w:tblPr>
        <w:tblStyle w:val="a6"/>
        <w:tblpPr w:leftFromText="180" w:rightFromText="180" w:vertAnchor="page" w:horzAnchor="margin" w:tblpY="3166"/>
        <w:tblW w:w="8635" w:type="dxa"/>
        <w:tblLook w:val="04A0"/>
      </w:tblPr>
      <w:tblGrid>
        <w:gridCol w:w="751"/>
        <w:gridCol w:w="2759"/>
        <w:gridCol w:w="993"/>
        <w:gridCol w:w="4132"/>
      </w:tblGrid>
      <w:tr w:rsidR="0022015F" w:rsidRPr="00F020C2" w:rsidTr="00CE013B">
        <w:trPr>
          <w:trHeight w:val="378"/>
        </w:trPr>
        <w:tc>
          <w:tcPr>
            <w:tcW w:w="751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759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132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22015F" w:rsidRPr="00F020C2" w:rsidTr="00CE013B">
        <w:trPr>
          <w:trHeight w:val="157"/>
        </w:trPr>
        <w:tc>
          <w:tcPr>
            <w:tcW w:w="751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759" w:type="dxa"/>
            <w:vAlign w:val="center"/>
          </w:tcPr>
          <w:p w:rsidR="0022015F" w:rsidRPr="002271F0" w:rsidRDefault="0022015F" w:rsidP="00CE01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3F40">
              <w:rPr>
                <w:rFonts w:asciiTheme="minorEastAsia" w:hAnsiTheme="minorEastAsia" w:hint="eastAsia"/>
                <w:szCs w:val="21"/>
              </w:rPr>
              <w:t>新冠病毒</w:t>
            </w:r>
            <w:proofErr w:type="spellStart"/>
            <w:r w:rsidRPr="00A43F40">
              <w:rPr>
                <w:rFonts w:asciiTheme="minorEastAsia" w:hAnsiTheme="minorEastAsia" w:hint="eastAsia"/>
                <w:szCs w:val="21"/>
              </w:rPr>
              <w:t>IgM</w:t>
            </w:r>
            <w:proofErr w:type="spellEnd"/>
            <w:r w:rsidRPr="00A43F40">
              <w:rPr>
                <w:rFonts w:asciiTheme="minorEastAsia" w:hAnsiTheme="minorEastAsia" w:hint="eastAsia"/>
                <w:szCs w:val="21"/>
              </w:rPr>
              <w:t>/</w:t>
            </w:r>
            <w:proofErr w:type="spellStart"/>
            <w:r w:rsidRPr="00A43F40">
              <w:rPr>
                <w:rFonts w:asciiTheme="minorEastAsia" w:hAnsiTheme="minorEastAsia" w:hint="eastAsia"/>
                <w:szCs w:val="21"/>
              </w:rPr>
              <w:t>IgG</w:t>
            </w:r>
            <w:proofErr w:type="spellEnd"/>
            <w:r w:rsidRPr="00A43F40">
              <w:rPr>
                <w:rFonts w:asciiTheme="minorEastAsia" w:hAnsiTheme="minorEastAsia" w:hint="eastAsia"/>
                <w:szCs w:val="21"/>
              </w:rPr>
              <w:t>抗体检测试剂盒</w:t>
            </w:r>
          </w:p>
        </w:tc>
        <w:tc>
          <w:tcPr>
            <w:tcW w:w="993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4132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015F" w:rsidRPr="00F020C2" w:rsidTr="00CE013B">
        <w:trPr>
          <w:trHeight w:val="223"/>
        </w:trPr>
        <w:tc>
          <w:tcPr>
            <w:tcW w:w="751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759" w:type="dxa"/>
            <w:vAlign w:val="center"/>
          </w:tcPr>
          <w:p w:rsidR="0022015F" w:rsidRPr="00F020C2" w:rsidRDefault="0022015F" w:rsidP="00CE01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3F40">
              <w:rPr>
                <w:rFonts w:asciiTheme="minorEastAsia" w:hAnsiTheme="minorEastAsia" w:hint="eastAsia"/>
                <w:szCs w:val="21"/>
              </w:rPr>
              <w:t>新冠病毒</w:t>
            </w:r>
            <w:r>
              <w:rPr>
                <w:rFonts w:asciiTheme="minorEastAsia" w:hAnsiTheme="minorEastAsia" w:hint="eastAsia"/>
                <w:szCs w:val="21"/>
              </w:rPr>
              <w:t>核酸检测试剂盒</w:t>
            </w:r>
          </w:p>
        </w:tc>
        <w:tc>
          <w:tcPr>
            <w:tcW w:w="993" w:type="dxa"/>
            <w:vAlign w:val="center"/>
          </w:tcPr>
          <w:p w:rsidR="0022015F" w:rsidRPr="00A43F40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4132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2015F" w:rsidRPr="00F020C2" w:rsidTr="00CE013B">
        <w:trPr>
          <w:trHeight w:val="215"/>
        </w:trPr>
        <w:tc>
          <w:tcPr>
            <w:tcW w:w="751" w:type="dxa"/>
            <w:vAlign w:val="center"/>
          </w:tcPr>
          <w:p w:rsidR="0022015F" w:rsidRPr="00F020C2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759" w:type="dxa"/>
            <w:vAlign w:val="center"/>
          </w:tcPr>
          <w:p w:rsidR="0022015F" w:rsidRPr="00F020C2" w:rsidRDefault="0022015F" w:rsidP="00CE01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新冠病毒采样管</w:t>
            </w:r>
          </w:p>
        </w:tc>
        <w:tc>
          <w:tcPr>
            <w:tcW w:w="993" w:type="dxa"/>
            <w:vAlign w:val="center"/>
          </w:tcPr>
          <w:p w:rsidR="0022015F" w:rsidRDefault="0022015F" w:rsidP="00CE013B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4132" w:type="dxa"/>
            <w:vAlign w:val="center"/>
          </w:tcPr>
          <w:p w:rsidR="0022015F" w:rsidRDefault="0022015F" w:rsidP="00CE013B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配套提供采样拭子</w:t>
            </w:r>
          </w:p>
        </w:tc>
      </w:tr>
    </w:tbl>
    <w:p w:rsidR="0022015F" w:rsidRDefault="0022015F" w:rsidP="0022015F">
      <w:pPr>
        <w:rPr>
          <w:rFonts w:hint="eastAsia"/>
        </w:rPr>
      </w:pPr>
      <w:r>
        <w:rPr>
          <w:rFonts w:hint="eastAsia"/>
        </w:rPr>
        <w:t>二、要求：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1、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Pr="00192612">
        <w:rPr>
          <w:rFonts w:asciiTheme="minorEastAsia" w:hAnsiTheme="minorEastAsia" w:hint="eastAsia"/>
          <w:szCs w:val="21"/>
          <w:u w:val="single"/>
        </w:rPr>
        <w:t>新冠病毒</w:t>
      </w:r>
      <w:proofErr w:type="spellStart"/>
      <w:r w:rsidRPr="00192612">
        <w:rPr>
          <w:rFonts w:asciiTheme="minorEastAsia" w:hAnsiTheme="minorEastAsia" w:hint="eastAsia"/>
          <w:szCs w:val="21"/>
          <w:u w:val="single"/>
        </w:rPr>
        <w:t>IgM</w:t>
      </w:r>
      <w:proofErr w:type="spellEnd"/>
      <w:r w:rsidRPr="00192612">
        <w:rPr>
          <w:rFonts w:asciiTheme="minorEastAsia" w:hAnsiTheme="minorEastAsia" w:hint="eastAsia"/>
          <w:szCs w:val="21"/>
          <w:u w:val="single"/>
        </w:rPr>
        <w:t>/</w:t>
      </w:r>
      <w:proofErr w:type="spellStart"/>
      <w:r w:rsidRPr="00192612">
        <w:rPr>
          <w:rFonts w:asciiTheme="minorEastAsia" w:hAnsiTheme="minorEastAsia" w:hint="eastAsia"/>
          <w:szCs w:val="21"/>
          <w:u w:val="single"/>
        </w:rPr>
        <w:t>IgG</w:t>
      </w:r>
      <w:proofErr w:type="spellEnd"/>
      <w:r w:rsidRPr="00192612">
        <w:rPr>
          <w:rFonts w:asciiTheme="minorEastAsia" w:hAnsiTheme="minorEastAsia" w:hint="eastAsia"/>
          <w:szCs w:val="21"/>
          <w:u w:val="single"/>
        </w:rPr>
        <w:t>抗体检测试剂盒</w:t>
      </w:r>
      <w:r>
        <w:rPr>
          <w:rFonts w:asciiTheme="minorEastAsia" w:hAnsiTheme="minorEastAsia" w:hint="eastAsia"/>
          <w:szCs w:val="21"/>
        </w:rPr>
        <w:t>等项目</w:t>
      </w:r>
      <w:r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行</w:t>
      </w:r>
      <w:r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</w:t>
      </w:r>
      <w:bookmarkStart w:id="0" w:name="_GoBack"/>
      <w:bookmarkEnd w:id="0"/>
      <w:r w:rsidRPr="00975D59">
        <w:rPr>
          <w:rFonts w:asciiTheme="minorEastAsia" w:hAnsiTheme="minorEastAsia" w:cs="宋体"/>
          <w:kern w:val="0"/>
          <w:szCs w:val="21"/>
        </w:rPr>
        <w:t>标书一正三副，正本须加盖红章）：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2.9售后服务承诺；</w:t>
      </w:r>
    </w:p>
    <w:p w:rsidR="0022015F" w:rsidRPr="00975D59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2.10 </w:t>
      </w:r>
      <w:r w:rsidRPr="00975D59">
        <w:rPr>
          <w:rFonts w:asciiTheme="minorEastAsia" w:hAnsiTheme="minorEastAsia" w:cs="宋体"/>
          <w:kern w:val="0"/>
          <w:szCs w:val="21"/>
        </w:rPr>
        <w:t>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22015F" w:rsidRPr="00975D59" w:rsidRDefault="0022015F" w:rsidP="0022015F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22015F" w:rsidRPr="00975D59" w:rsidRDefault="0022015F" w:rsidP="0022015F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联系人：蔡老师、肖老师，联系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24日下午17时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25日上午9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0分，地点：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214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会议室（具体时间地点将以现场报名登记时告知为准）。</w:t>
      </w:r>
    </w:p>
    <w:p w:rsidR="0022015F" w:rsidRPr="0056064E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　三、评标方法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</w:t>
      </w:r>
      <w:r>
        <w:rPr>
          <w:rFonts w:asciiTheme="minorEastAsia" w:hAnsiTheme="minorEastAsia" w:cs="宋体" w:hint="eastAsia"/>
          <w:kern w:val="0"/>
          <w:szCs w:val="21"/>
        </w:rPr>
        <w:t>入围</w:t>
      </w:r>
      <w:r w:rsidRPr="00975D59">
        <w:rPr>
          <w:rFonts w:asciiTheme="minorEastAsia" w:hAnsiTheme="minorEastAsia" w:cs="宋体"/>
          <w:kern w:val="0"/>
          <w:szCs w:val="21"/>
        </w:rPr>
        <w:t>议标的方式，采用综合评分法</w:t>
      </w:r>
      <w:r>
        <w:rPr>
          <w:rFonts w:asciiTheme="minorEastAsia" w:hAnsiTheme="minorEastAsia" w:cs="宋体" w:hint="eastAsia"/>
          <w:kern w:val="0"/>
          <w:szCs w:val="21"/>
        </w:rPr>
        <w:t>（详见附件）</w:t>
      </w:r>
      <w:r w:rsidRPr="00975D59">
        <w:rPr>
          <w:rFonts w:asciiTheme="minorEastAsia" w:hAnsiTheme="minorEastAsia" w:cs="宋体"/>
          <w:kern w:val="0"/>
          <w:szCs w:val="21"/>
        </w:rPr>
        <w:t>，中标结果以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8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19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22015F" w:rsidRDefault="0022015F" w:rsidP="0022015F">
      <w:pPr>
        <w:rPr>
          <w:rFonts w:hint="eastAsia"/>
        </w:rPr>
      </w:pPr>
      <w:r>
        <w:rPr>
          <w:b/>
          <w:sz w:val="28"/>
          <w:szCs w:val="28"/>
        </w:rPr>
        <w:br w:type="page"/>
      </w:r>
    </w:p>
    <w:p w:rsidR="0022015F" w:rsidRDefault="007D3ED9" w:rsidP="0022015F">
      <w:pPr>
        <w:pStyle w:val="a5"/>
        <w:ind w:left="420" w:firstLineChars="0" w:firstLine="0"/>
        <w:rPr>
          <w:rFonts w:hint="eastAsia"/>
          <w:b/>
          <w:sz w:val="28"/>
          <w:szCs w:val="28"/>
        </w:rPr>
      </w:pPr>
      <w:r w:rsidRPr="00700513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附件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3884"/>
        <w:gridCol w:w="1759"/>
        <w:gridCol w:w="1760"/>
        <w:gridCol w:w="1760"/>
      </w:tblGrid>
      <w:tr w:rsidR="007D3ED9" w:rsidRPr="00295572" w:rsidTr="00CE013B">
        <w:tc>
          <w:tcPr>
            <w:tcW w:w="10065" w:type="dxa"/>
            <w:gridSpan w:val="5"/>
          </w:tcPr>
          <w:p w:rsidR="007D3ED9" w:rsidRPr="00295572" w:rsidRDefault="007D3ED9" w:rsidP="00CE013B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7D3ED9" w:rsidRPr="00295572" w:rsidTr="00CE013B">
        <w:tc>
          <w:tcPr>
            <w:tcW w:w="4786" w:type="dxa"/>
            <w:gridSpan w:val="2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7D3ED9" w:rsidRPr="00295572" w:rsidRDefault="007D3ED9" w:rsidP="00CE013B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7D3ED9" w:rsidRPr="00EE4118" w:rsidTr="00CE013B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50</w:t>
            </w:r>
          </w:p>
          <w:p w:rsidR="007D3ED9" w:rsidRPr="00295572" w:rsidRDefault="007D3ED9" w:rsidP="00CE013B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0-15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售后服务、企业形象</w:t>
            </w:r>
            <w:r w:rsidRPr="00295572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</w:t>
            </w:r>
            <w:proofErr w:type="gramStart"/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以及品</w:t>
            </w:r>
            <w:proofErr w:type="gramEnd"/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售后技术培训与应用支持进行评议，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：对供应商（企业）的信誉度、与医院的业务往来情况及其他（国外认证、产品销售情况等）进行评议，被评为“优”的耗材，得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 w:rsidRPr="00EE4118"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 w:rsidRPr="00EE4118"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7D3ED9" w:rsidRPr="00EE4118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/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）×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30%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×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7D3ED9" w:rsidRPr="00EE4118" w:rsidRDefault="007D3ED9" w:rsidP="00CE013B">
            <w:pPr>
              <w:rPr>
                <w:color w:val="000000"/>
                <w:sz w:val="20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投标报价得分以四舍五入保留小数点后一位</w:t>
            </w:r>
          </w:p>
        </w:tc>
        <w:tc>
          <w:tcPr>
            <w:tcW w:w="1759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</w:tcPr>
          <w:p w:rsidR="007D3ED9" w:rsidRPr="00295572" w:rsidRDefault="007D3ED9" w:rsidP="00CE013B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3884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</w:tr>
    </w:tbl>
    <w:p w:rsidR="007D3ED9" w:rsidRPr="0022015F" w:rsidRDefault="007D3ED9" w:rsidP="0022015F">
      <w:pPr>
        <w:pStyle w:val="a5"/>
        <w:ind w:left="420" w:firstLineChars="0" w:firstLine="0"/>
      </w:pPr>
    </w:p>
    <w:sectPr w:rsidR="007D3ED9" w:rsidRPr="0022015F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E3" w:rsidRDefault="00916FE3" w:rsidP="0022015F">
      <w:r>
        <w:separator/>
      </w:r>
    </w:p>
  </w:endnote>
  <w:endnote w:type="continuationSeparator" w:id="0">
    <w:p w:rsidR="00916FE3" w:rsidRDefault="00916FE3" w:rsidP="00220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E3" w:rsidRDefault="00916FE3" w:rsidP="0022015F">
      <w:r>
        <w:separator/>
      </w:r>
    </w:p>
  </w:footnote>
  <w:footnote w:type="continuationSeparator" w:id="0">
    <w:p w:rsidR="00916FE3" w:rsidRDefault="00916FE3" w:rsidP="00220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1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70C04453"/>
    <w:multiLevelType w:val="hybridMultilevel"/>
    <w:tmpl w:val="9F9E1372"/>
    <w:lvl w:ilvl="0" w:tplc="328EDE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15F"/>
    <w:rsid w:val="000401FD"/>
    <w:rsid w:val="0022015F"/>
    <w:rsid w:val="002C1AFC"/>
    <w:rsid w:val="005B7EDB"/>
    <w:rsid w:val="007D3ED9"/>
    <w:rsid w:val="0085591C"/>
    <w:rsid w:val="0091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15F"/>
    <w:rPr>
      <w:sz w:val="18"/>
      <w:szCs w:val="18"/>
    </w:rPr>
  </w:style>
  <w:style w:type="paragraph" w:styleId="a5">
    <w:name w:val="List Paragraph"/>
    <w:basedOn w:val="a"/>
    <w:uiPriority w:val="99"/>
    <w:qFormat/>
    <w:rsid w:val="0022015F"/>
    <w:pPr>
      <w:ind w:firstLineChars="200" w:firstLine="420"/>
    </w:pPr>
  </w:style>
  <w:style w:type="table" w:styleId="a6">
    <w:name w:val="Table Grid"/>
    <w:basedOn w:val="a1"/>
    <w:uiPriority w:val="59"/>
    <w:qFormat/>
    <w:rsid w:val="00220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</cp:revision>
  <dcterms:created xsi:type="dcterms:W3CDTF">2020-08-19T06:16:00Z</dcterms:created>
  <dcterms:modified xsi:type="dcterms:W3CDTF">2020-08-19T06:28:00Z</dcterms:modified>
</cp:coreProperties>
</file>