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D3D" w:rsidRPr="008D3D3D" w:rsidRDefault="008D3D3D" w:rsidP="008D3D3D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bookmarkStart w:id="0" w:name="_Hlk14700024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宁波市</w:t>
      </w:r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鄞州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人民医</w:t>
      </w:r>
      <w:r w:rsidR="00FB62E7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共体</w:t>
      </w:r>
      <w:bookmarkEnd w:id="0"/>
      <w:r w:rsidR="008F6CA9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部分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医用耗材</w:t>
      </w:r>
      <w:r w:rsidR="002F1082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(第二批)</w:t>
      </w:r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院内议标公告</w:t>
      </w:r>
    </w:p>
    <w:p w:rsidR="008D3D3D" w:rsidRDefault="008D3D3D" w:rsidP="008D3D3D">
      <w:pPr>
        <w:pStyle w:val="a4"/>
        <w:widowControl/>
        <w:numPr>
          <w:ilvl w:val="0"/>
          <w:numId w:val="1"/>
        </w:numPr>
        <w:spacing w:line="420" w:lineRule="atLeast"/>
        <w:ind w:firstLineChars="0"/>
        <w:rPr>
          <w:rFonts w:asciiTheme="minorEastAsia" w:hAnsiTheme="minorEastAsia" w:cs="宋体"/>
          <w:b/>
          <w:bCs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项目要求</w:t>
      </w:r>
    </w:p>
    <w:tbl>
      <w:tblPr>
        <w:tblStyle w:val="a5"/>
        <w:tblW w:w="8789" w:type="dxa"/>
        <w:tblInd w:w="-34" w:type="dxa"/>
        <w:tblLook w:val="04A0" w:firstRow="1" w:lastRow="0" w:firstColumn="1" w:lastColumn="0" w:noHBand="0" w:noVBand="1"/>
      </w:tblPr>
      <w:tblGrid>
        <w:gridCol w:w="851"/>
        <w:gridCol w:w="2126"/>
        <w:gridCol w:w="1276"/>
        <w:gridCol w:w="4536"/>
      </w:tblGrid>
      <w:tr w:rsidR="002F1082" w:rsidTr="002F1082">
        <w:tc>
          <w:tcPr>
            <w:tcW w:w="851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126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1276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4536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基本要求</w:t>
            </w:r>
          </w:p>
        </w:tc>
      </w:tr>
      <w:tr w:rsidR="002F1082" w:rsidTr="002F1082">
        <w:tc>
          <w:tcPr>
            <w:tcW w:w="851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126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供应室消毒灭菌相关耗材一</w:t>
            </w:r>
          </w:p>
        </w:tc>
        <w:tc>
          <w:tcPr>
            <w:tcW w:w="1276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4536" w:type="dxa"/>
          </w:tcPr>
          <w:p w:rsidR="002F1082" w:rsidRPr="002F1082" w:rsidRDefault="002F1082" w:rsidP="002F1082">
            <w:pPr>
              <w:widowControl/>
              <w:spacing w:line="42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该品目包含以下产品:</w:t>
            </w:r>
            <w:r w:rsidRPr="00BF353C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Cs w:val="21"/>
              </w:rPr>
              <w:t xml:space="preserve"> </w:t>
            </w:r>
            <w:r w:rsidR="00BF353C" w:rsidRPr="00BF353C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Cs w:val="21"/>
              </w:rPr>
              <w:t>(</w:t>
            </w:r>
            <w:bookmarkStart w:id="1" w:name="_GoBack"/>
            <w:bookmarkEnd w:id="1"/>
            <w:r w:rsidR="00BF353C" w:rsidRPr="00BF353C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Cs w:val="21"/>
              </w:rPr>
              <w:t>可部分投标)</w:t>
            </w:r>
          </w:p>
          <w:p w:rsidR="002F1082" w:rsidRDefault="002F1082" w:rsidP="002F1082">
            <w:pPr>
              <w:pStyle w:val="a4"/>
              <w:widowControl/>
              <w:numPr>
                <w:ilvl w:val="0"/>
                <w:numId w:val="2"/>
              </w:numPr>
              <w:spacing w:line="420" w:lineRule="atLeast"/>
              <w:ind w:firstLineChars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EO指示卡</w:t>
            </w:r>
          </w:p>
          <w:p w:rsidR="002F1082" w:rsidRDefault="002F1082" w:rsidP="002F1082">
            <w:pPr>
              <w:pStyle w:val="a4"/>
              <w:widowControl/>
              <w:numPr>
                <w:ilvl w:val="0"/>
                <w:numId w:val="2"/>
              </w:numPr>
              <w:spacing w:line="420" w:lineRule="atLeast"/>
              <w:ind w:firstLineChars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快速生物测试包</w:t>
            </w:r>
          </w:p>
          <w:p w:rsidR="002F1082" w:rsidRDefault="002F1082" w:rsidP="002F1082">
            <w:pPr>
              <w:pStyle w:val="a4"/>
              <w:widowControl/>
              <w:numPr>
                <w:ilvl w:val="0"/>
                <w:numId w:val="2"/>
              </w:numPr>
              <w:spacing w:line="420" w:lineRule="atLeast"/>
              <w:ind w:firstLineChars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快速生物指示剂</w:t>
            </w:r>
          </w:p>
          <w:p w:rsidR="002F1082" w:rsidRDefault="002F1082" w:rsidP="002F1082">
            <w:pPr>
              <w:pStyle w:val="a4"/>
              <w:widowControl/>
              <w:numPr>
                <w:ilvl w:val="0"/>
                <w:numId w:val="2"/>
              </w:numPr>
              <w:spacing w:line="420" w:lineRule="atLeast"/>
              <w:ind w:firstLineChars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灭菌指示胶带</w:t>
            </w:r>
          </w:p>
          <w:p w:rsidR="002F1082" w:rsidRDefault="002F1082" w:rsidP="002F1082">
            <w:pPr>
              <w:pStyle w:val="a4"/>
              <w:widowControl/>
              <w:numPr>
                <w:ilvl w:val="0"/>
                <w:numId w:val="2"/>
              </w:numPr>
              <w:spacing w:line="420" w:lineRule="atLeast"/>
              <w:ind w:firstLineChars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压力</w:t>
            </w:r>
            <w:r w:rsidRPr="002F108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蒸汽灭菌包内化学指示卡(爬行式)</w:t>
            </w:r>
          </w:p>
          <w:p w:rsidR="002F1082" w:rsidRPr="008F6CA9" w:rsidRDefault="002F1082" w:rsidP="002F1082">
            <w:pPr>
              <w:pStyle w:val="a4"/>
              <w:widowControl/>
              <w:numPr>
                <w:ilvl w:val="0"/>
                <w:numId w:val="2"/>
              </w:numPr>
              <w:spacing w:line="420" w:lineRule="atLeast"/>
              <w:ind w:firstLineChars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BD测试包</w:t>
            </w:r>
          </w:p>
        </w:tc>
      </w:tr>
      <w:tr w:rsidR="002F1082" w:rsidTr="002F1082">
        <w:tc>
          <w:tcPr>
            <w:tcW w:w="851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126" w:type="dxa"/>
          </w:tcPr>
          <w:p w:rsidR="002F1082" w:rsidRPr="008F6CA9" w:rsidRDefault="002F1082" w:rsidP="00101920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供应室消毒灭菌相关耗材二</w:t>
            </w:r>
          </w:p>
        </w:tc>
        <w:tc>
          <w:tcPr>
            <w:tcW w:w="1276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4536" w:type="dxa"/>
          </w:tcPr>
          <w:p w:rsidR="002F1082" w:rsidRPr="002F1082" w:rsidRDefault="002F1082" w:rsidP="002F1082">
            <w:pPr>
              <w:widowControl/>
              <w:spacing w:line="42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该品目包含以下产品: </w:t>
            </w:r>
            <w:r w:rsidR="00D929BC" w:rsidRPr="00A35614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Cs w:val="21"/>
              </w:rPr>
              <w:t>(可部分投标)</w:t>
            </w:r>
          </w:p>
          <w:p w:rsidR="002F1082" w:rsidRPr="008F6CA9" w:rsidRDefault="002F1082" w:rsidP="002F1082">
            <w:pPr>
              <w:widowControl/>
              <w:spacing w:line="42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1.</w:t>
            </w:r>
            <w:r w:rsidRPr="008F6CA9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 xml:space="preserve"> </w:t>
            </w:r>
            <w:r w:rsidR="00D929BC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过氧化氢低温等离子体灭菌器卡匣</w:t>
            </w:r>
          </w:p>
          <w:p w:rsidR="002F1082" w:rsidRDefault="002F1082" w:rsidP="002F1082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2.</w:t>
            </w:r>
            <w:r w:rsidRPr="002F108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 </w:t>
            </w:r>
            <w:r w:rsidR="00D929BC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过氧化氢</w:t>
            </w:r>
            <w:r w:rsidRPr="002F108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低温等离子灭菌</w:t>
            </w:r>
            <w:r w:rsidR="00D929BC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用纸塑包装卷</w:t>
            </w:r>
          </w:p>
          <w:p w:rsidR="00D929BC" w:rsidRDefault="00D929BC" w:rsidP="002F1082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3. 过氧化氢</w:t>
            </w:r>
            <w:r w:rsidRPr="002F108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低温等离子灭菌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用化学指示卡</w:t>
            </w:r>
          </w:p>
          <w:p w:rsidR="00D929BC" w:rsidRDefault="00D929BC" w:rsidP="002F1082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4. 过氧化氢</w:t>
            </w:r>
            <w:r w:rsidRPr="002F108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低温等离子灭菌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用生物指示剂</w:t>
            </w:r>
          </w:p>
          <w:p w:rsidR="00D929BC" w:rsidRPr="008F6CA9" w:rsidRDefault="00D929BC" w:rsidP="002F1082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5. 过氧化氢低温</w:t>
            </w:r>
            <w:r w:rsidRPr="002F108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等离子灭菌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用化学指示胶带</w:t>
            </w:r>
          </w:p>
        </w:tc>
      </w:tr>
      <w:tr w:rsidR="002F1082" w:rsidTr="002F1082">
        <w:tc>
          <w:tcPr>
            <w:tcW w:w="851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126" w:type="dxa"/>
          </w:tcPr>
          <w:p w:rsidR="002F1082" w:rsidRPr="008F6CA9" w:rsidRDefault="00D929B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放疗用定位膜</w:t>
            </w:r>
          </w:p>
        </w:tc>
        <w:tc>
          <w:tcPr>
            <w:tcW w:w="1276" w:type="dxa"/>
          </w:tcPr>
          <w:p w:rsidR="002F1082" w:rsidRPr="008F6CA9" w:rsidRDefault="00D929B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4536" w:type="dxa"/>
          </w:tcPr>
          <w:p w:rsidR="002F1082" w:rsidRPr="008F6CA9" w:rsidRDefault="00D929B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各种规格</w:t>
            </w:r>
          </w:p>
        </w:tc>
      </w:tr>
      <w:tr w:rsidR="002F1082" w:rsidTr="002F1082">
        <w:tc>
          <w:tcPr>
            <w:tcW w:w="851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126" w:type="dxa"/>
          </w:tcPr>
          <w:p w:rsidR="002F1082" w:rsidRPr="008F6CA9" w:rsidRDefault="00D929B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929BC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全能高效多酶清洗液</w:t>
            </w:r>
          </w:p>
        </w:tc>
        <w:tc>
          <w:tcPr>
            <w:tcW w:w="1276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4536" w:type="dxa"/>
          </w:tcPr>
          <w:p w:rsidR="002F1082" w:rsidRPr="008F6CA9" w:rsidRDefault="00D929B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内镜中心、供应室使用</w:t>
            </w:r>
          </w:p>
        </w:tc>
      </w:tr>
      <w:tr w:rsidR="002F1082" w:rsidTr="002F1082">
        <w:tc>
          <w:tcPr>
            <w:tcW w:w="851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126" w:type="dxa"/>
          </w:tcPr>
          <w:p w:rsidR="002F1082" w:rsidRPr="008F6CA9" w:rsidRDefault="00D929B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929BC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邻苯二甲醛消毒液</w:t>
            </w:r>
          </w:p>
        </w:tc>
        <w:tc>
          <w:tcPr>
            <w:tcW w:w="1276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4536" w:type="dxa"/>
          </w:tcPr>
          <w:p w:rsidR="002F1082" w:rsidRPr="008F6CA9" w:rsidRDefault="00D929B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内镜中心使用</w:t>
            </w:r>
          </w:p>
        </w:tc>
      </w:tr>
      <w:tr w:rsidR="002F1082" w:rsidTr="002F1082">
        <w:tc>
          <w:tcPr>
            <w:tcW w:w="851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126" w:type="dxa"/>
          </w:tcPr>
          <w:p w:rsidR="002F1082" w:rsidRPr="008F6CA9" w:rsidRDefault="00D929B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929BC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过氧乙酸消毒液</w:t>
            </w:r>
          </w:p>
        </w:tc>
        <w:tc>
          <w:tcPr>
            <w:tcW w:w="1276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4536" w:type="dxa"/>
          </w:tcPr>
          <w:p w:rsidR="002F1082" w:rsidRPr="008F6CA9" w:rsidRDefault="00D929B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内镜中心使用</w:t>
            </w:r>
          </w:p>
        </w:tc>
      </w:tr>
      <w:tr w:rsidR="002F1082" w:rsidTr="002F1082">
        <w:tc>
          <w:tcPr>
            <w:tcW w:w="851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2126" w:type="dxa"/>
          </w:tcPr>
          <w:p w:rsidR="002F1082" w:rsidRPr="008F6CA9" w:rsidRDefault="00D929BC" w:rsidP="00D929BC">
            <w:pPr>
              <w:pStyle w:val="a4"/>
              <w:widowControl/>
              <w:spacing w:line="420" w:lineRule="atLeast"/>
              <w:ind w:firstLineChars="0" w:firstLine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929BC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医用碱性强效清洗剂</w:t>
            </w:r>
          </w:p>
        </w:tc>
        <w:tc>
          <w:tcPr>
            <w:tcW w:w="1276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4536" w:type="dxa"/>
          </w:tcPr>
          <w:p w:rsidR="002F1082" w:rsidRPr="008F6CA9" w:rsidRDefault="00D929B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供应室使用</w:t>
            </w:r>
          </w:p>
        </w:tc>
      </w:tr>
      <w:tr w:rsidR="002F1082" w:rsidTr="002F1082">
        <w:tc>
          <w:tcPr>
            <w:tcW w:w="851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2126" w:type="dxa"/>
          </w:tcPr>
          <w:p w:rsidR="002F1082" w:rsidRDefault="00D929B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D929BC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医用多酶低泡强效清洗剂</w:t>
            </w:r>
          </w:p>
        </w:tc>
        <w:tc>
          <w:tcPr>
            <w:tcW w:w="1276" w:type="dxa"/>
          </w:tcPr>
          <w:p w:rsidR="002F1082" w:rsidRPr="008F6CA9" w:rsidRDefault="002F1082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4536" w:type="dxa"/>
          </w:tcPr>
          <w:p w:rsidR="002F1082" w:rsidRDefault="00BF353C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内镜中心、供应室使用</w:t>
            </w:r>
          </w:p>
        </w:tc>
      </w:tr>
    </w:tbl>
    <w:p w:rsidR="008D3D3D" w:rsidRPr="008D3D3D" w:rsidRDefault="008D3D3D" w:rsidP="008D3D3D">
      <w:pPr>
        <w:pStyle w:val="a4"/>
        <w:widowControl/>
        <w:spacing w:line="420" w:lineRule="atLeast"/>
        <w:ind w:left="720" w:firstLineChars="0" w:firstLine="0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二、招标要求：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</w:t>
      </w:r>
      <w:r w:rsidR="00FB62E7" w:rsidRPr="00FB62E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宁波市鄞州人民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医院</w:t>
      </w:r>
      <w:r w:rsidR="00FB62E7" w:rsidRPr="00FB62E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医共体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就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供应室消毒灭菌相关耗材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等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部分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医用耗材进行院内议标，特邀请各合格投标单位参与。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2、参与投标应提供以下资料：（标书一正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三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副，正本须加盖红章）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2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1营业执照复印件。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2生产企业生产许可证、经营企业经营许可证。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按医疗器械管理的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产品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提供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医疗器械注册证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(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含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注册登记表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)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或备案表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4产品代理授权书（复印件）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：遇同一产品多份授权，以对本次议标项目授权的为准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5投标代表的法人授权书及身份证复印件，并带身份证原件。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提供</w:t>
      </w:r>
      <w:r w:rsidR="00B96F9B" w:rsidRP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产品的彩页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有条件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的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提供参加投标各品牌产品的样品(每规格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1个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或最小包装1盒)。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7产品质量保证书、廉洁承诺书。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8分项投标报价表。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9如属于浙江省</w:t>
      </w:r>
      <w:r w:rsid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/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宁波市</w:t>
      </w:r>
      <w:r w:rsid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/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鄞州区招标入围产品的提供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相关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书面资料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 w:rsid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10</w:t>
      </w:r>
      <w:r w:rsidR="009E62ED"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在采购期内如遇上级主管部门出台相关医用耗材的采购政策时，本院的采购按政策要求做相应的调整。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3、本次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议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标将于20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下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午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13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点在宁波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大学附属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人民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医院</w:t>
      </w:r>
      <w:r w:rsidR="0008636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7-2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号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楼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306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楼会议室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进行（如有</w:t>
      </w:r>
      <w:r w:rsidR="007100C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时间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地点变动，另行通知）。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三、评标方法</w:t>
      </w:r>
    </w:p>
    <w:p w:rsidR="007C20BD" w:rsidRDefault="009E62E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1、评标方法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：</w:t>
      </w:r>
      <w:r w:rsidR="00470A44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采用综合判定、低价优先原则，</w:t>
      </w:r>
      <w:r w:rsidR="007C20BD" w:rsidRPr="007C20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不保证最低投标报价中标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  <w:r w:rsidR="00470A44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中标结果以院外网公示、电话通知为准。</w:t>
      </w:r>
    </w:p>
    <w:p w:rsidR="009E62ED" w:rsidRDefault="009E62E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2、商务资质初审：设备科对投标商的资质进行初审，不符合者取消投标资格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lastRenderedPageBreak/>
        <w:t>四、商务条款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  <w:t>交货方式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和时间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：按院方实际需要供货</w:t>
      </w:r>
      <w:r w:rsidR="007C20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，满足院方订货频率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付款方式：四个月结算。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售后服务：保证所售耗材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试剂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的质量和供货的及时性，更换新证件应及时通知</w:t>
      </w:r>
      <w:r w:rsidR="00470A4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技术支持：中标商应提供耗材使用的技术支持或培训。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本次议标解释权属宁波市鄞州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人民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医院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医共体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，如有异议协商解决。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五、投标有关信息：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  <w:t>投标资料送达时间： 20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下午13时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  <w:t>开标时间：201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E9429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 w:rsidR="00E9429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="00E9429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下午13时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  <w:t>投标及开标地点：</w:t>
      </w:r>
      <w:r w:rsidR="00B96F9B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宁波市鄞州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人民</w:t>
      </w:r>
      <w:r w:rsidR="00B96F9B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医院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17-2号</w:t>
      </w:r>
      <w:r w:rsidR="00B96F9B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楼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="00E9429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06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会议室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联系人：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王善君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联系电话：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0574-87017665</w:t>
      </w:r>
    </w:p>
    <w:p w:rsidR="008D3D3D" w:rsidRDefault="008D3D3D" w:rsidP="008D3D3D">
      <w:pPr>
        <w:widowControl/>
        <w:spacing w:line="420" w:lineRule="atLeast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如需参数沟通，请致电：0574-</w:t>
      </w:r>
      <w:r w:rsidR="00B96F9B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87016979</w:t>
      </w:r>
    </w:p>
    <w:p w:rsidR="00470A44" w:rsidRPr="00437716" w:rsidRDefault="00470A44" w:rsidP="008D3D3D">
      <w:pPr>
        <w:widowControl/>
        <w:spacing w:line="420" w:lineRule="atLeast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</w:p>
    <w:p w:rsidR="00470A44" w:rsidRDefault="00FB62E7" w:rsidP="00470A44">
      <w:pPr>
        <w:widowControl/>
        <w:spacing w:line="420" w:lineRule="atLeast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B62E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宁波市鄞州人民</w:t>
      </w:r>
      <w:r w:rsidR="0043771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医院</w:t>
      </w:r>
      <w:r w:rsidRPr="00FB62E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医共体</w:t>
      </w:r>
    </w:p>
    <w:p w:rsidR="00470A44" w:rsidRPr="00470A44" w:rsidRDefault="00470A44" w:rsidP="00470A44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43771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E9429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7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E9429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F47FE3" w:rsidRDefault="00F47FE3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7FE3" w:rsidRPr="00E66BF1" w:rsidRDefault="00F47FE3" w:rsidP="00F47FE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3884"/>
        <w:gridCol w:w="1759"/>
        <w:gridCol w:w="1760"/>
        <w:gridCol w:w="1760"/>
      </w:tblGrid>
      <w:tr w:rsidR="00F47FE3" w:rsidRPr="00295572" w:rsidTr="009F7A60">
        <w:tc>
          <w:tcPr>
            <w:tcW w:w="10065" w:type="dxa"/>
            <w:gridSpan w:val="5"/>
          </w:tcPr>
          <w:p w:rsidR="00F47FE3" w:rsidRPr="00295572" w:rsidRDefault="00F47FE3" w:rsidP="009F7A60">
            <w:pPr>
              <w:jc w:val="center"/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评分细则</w:t>
            </w:r>
          </w:p>
        </w:tc>
      </w:tr>
      <w:tr w:rsidR="00F47FE3" w:rsidRPr="00295572" w:rsidTr="009F7A60">
        <w:tc>
          <w:tcPr>
            <w:tcW w:w="4786" w:type="dxa"/>
            <w:gridSpan w:val="2"/>
            <w:vMerge w:val="restart"/>
            <w:vAlign w:val="center"/>
          </w:tcPr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评分项及分值</w:t>
            </w:r>
          </w:p>
        </w:tc>
        <w:tc>
          <w:tcPr>
            <w:tcW w:w="5279" w:type="dxa"/>
            <w:gridSpan w:val="3"/>
          </w:tcPr>
          <w:p w:rsidR="00F47FE3" w:rsidRPr="00295572" w:rsidRDefault="00F47FE3" w:rsidP="009F7A60">
            <w:pPr>
              <w:jc w:val="center"/>
              <w:rPr>
                <w:b/>
                <w:sz w:val="28"/>
                <w:szCs w:val="28"/>
              </w:rPr>
            </w:pPr>
            <w:r w:rsidRPr="00295572">
              <w:rPr>
                <w:rFonts w:hint="eastAsia"/>
                <w:b/>
                <w:sz w:val="28"/>
                <w:szCs w:val="28"/>
              </w:rPr>
              <w:t>投标单位</w:t>
            </w:r>
          </w:p>
        </w:tc>
      </w:tr>
      <w:tr w:rsidR="00F47FE3" w:rsidRPr="00295572" w:rsidTr="009F7A60">
        <w:trPr>
          <w:trHeight w:val="510"/>
        </w:trPr>
        <w:tc>
          <w:tcPr>
            <w:tcW w:w="4786" w:type="dxa"/>
            <w:gridSpan w:val="2"/>
            <w:vMerge/>
            <w:vAlign w:val="center"/>
          </w:tcPr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F47FE3" w:rsidRPr="00EE4118" w:rsidRDefault="00F47FE3" w:rsidP="009F7A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F47FE3" w:rsidRPr="00EE4118" w:rsidRDefault="00F47FE3" w:rsidP="009F7A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F47FE3" w:rsidRPr="00EE4118" w:rsidRDefault="00F47FE3" w:rsidP="009F7A60">
            <w:pPr>
              <w:jc w:val="center"/>
              <w:rPr>
                <w:b/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 w:val="restart"/>
            <w:vAlign w:val="center"/>
          </w:tcPr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产</w:t>
            </w:r>
          </w:p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品</w:t>
            </w:r>
          </w:p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技</w:t>
            </w:r>
          </w:p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术</w:t>
            </w:r>
          </w:p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50</w:t>
            </w:r>
          </w:p>
          <w:p w:rsidR="00F47FE3" w:rsidRPr="00295572" w:rsidRDefault="00F47FE3" w:rsidP="009F7A60">
            <w:pPr>
              <w:jc w:val="center"/>
              <w:rPr>
                <w:szCs w:val="21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3884" w:type="dxa"/>
          </w:tcPr>
          <w:p w:rsidR="00F47FE3" w:rsidRPr="00EE4118" w:rsidRDefault="00F47FE3" w:rsidP="009F7A60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产品临床性能评价（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产品设计的合理性、安全性、稳定性、简捷性 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25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；被评为“中”的耗材得</w:t>
            </w:r>
            <w:r w:rsidRPr="00EE4118">
              <w:rPr>
                <w:color w:val="000000"/>
                <w:sz w:val="18"/>
                <w:szCs w:val="21"/>
              </w:rPr>
              <w:t>1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5-25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0-15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F47FE3" w:rsidRPr="00EE4118" w:rsidRDefault="00F47FE3" w:rsidP="009F7A60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产品生产工艺、材料（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生产工艺、材料质量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F47FE3" w:rsidRPr="00EE4118" w:rsidRDefault="00F47FE3" w:rsidP="009F7A60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产品的品牌知名度（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对于产品品牌的认可程度，该品牌是否被广泛认知和使用，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 w:val="restart"/>
            <w:vAlign w:val="center"/>
          </w:tcPr>
          <w:p w:rsidR="00F47FE3" w:rsidRPr="00295572" w:rsidRDefault="00F47FE3" w:rsidP="009F7A60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售后服务、企业形象</w:t>
            </w:r>
            <w:r w:rsidRPr="00295572"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3884" w:type="dxa"/>
          </w:tcPr>
          <w:p w:rsidR="00F47FE3" w:rsidRPr="00EE4118" w:rsidRDefault="00F47FE3" w:rsidP="009F7A60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售后服务（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对供应商的保障能力、送货速度、快速反应能力以及品售后技术培训与应用支持进行评议，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F47FE3" w:rsidRPr="00EE4118" w:rsidRDefault="00F47FE3" w:rsidP="009F7A60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企业形象（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：对供应商（企业）的信誉度、与医院的业务往来情况及其他（国外认证、产品销售情况等）进行评议，被评为“优”的耗材，得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Align w:val="center"/>
          </w:tcPr>
          <w:p w:rsidR="00F47FE3" w:rsidRPr="00295572" w:rsidRDefault="00F47FE3" w:rsidP="009F7A60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价格分</w:t>
            </w:r>
            <w:r w:rsidRPr="00295572">
              <w:rPr>
                <w:rFonts w:hint="eastAsia"/>
                <w:b/>
                <w:szCs w:val="21"/>
              </w:rPr>
              <w:t>30</w:t>
            </w:r>
            <w:r w:rsidRPr="00295572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884" w:type="dxa"/>
          </w:tcPr>
          <w:p w:rsidR="00F47FE3" w:rsidRPr="00EE4118" w:rsidRDefault="00F47FE3" w:rsidP="009F7A60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满足议标文件要求且投标价格最低的投标报价基准价为满分。</w:t>
            </w:r>
          </w:p>
          <w:p w:rsidR="00F47FE3" w:rsidRPr="00EE4118" w:rsidRDefault="00F47FE3" w:rsidP="009F7A60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投标报价得分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（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/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）×</w:t>
            </w:r>
            <w:r w:rsidRPr="00EE4118">
              <w:rPr>
                <w:color w:val="000000"/>
                <w:sz w:val="18"/>
                <w:szCs w:val="21"/>
                <w:lang w:val="en-CA"/>
              </w:rPr>
              <w:t>100</w:t>
            </w:r>
          </w:p>
          <w:p w:rsidR="00F47FE3" w:rsidRPr="00EE4118" w:rsidRDefault="00F47FE3" w:rsidP="009F7A60">
            <w:pPr>
              <w:rPr>
                <w:color w:val="000000"/>
                <w:sz w:val="20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投标报价得分以四舍五入保留小数点后一位</w:t>
            </w:r>
          </w:p>
        </w:tc>
        <w:tc>
          <w:tcPr>
            <w:tcW w:w="1759" w:type="dxa"/>
            <w:vAlign w:val="center"/>
          </w:tcPr>
          <w:p w:rsidR="00F47FE3" w:rsidRPr="00295572" w:rsidRDefault="00F47FE3" w:rsidP="009F7A60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F47FE3" w:rsidRPr="00295572" w:rsidRDefault="00F47FE3" w:rsidP="009F7A60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F47FE3" w:rsidRPr="00295572" w:rsidRDefault="00F47FE3" w:rsidP="009F7A60">
            <w:pPr>
              <w:jc w:val="center"/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</w:tcPr>
          <w:p w:rsidR="00F47FE3" w:rsidRPr="00295572" w:rsidRDefault="00F47FE3" w:rsidP="009F7A60">
            <w:pPr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得分</w:t>
            </w:r>
          </w:p>
        </w:tc>
        <w:tc>
          <w:tcPr>
            <w:tcW w:w="3884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</w:tr>
    </w:tbl>
    <w:p w:rsidR="00F47FE3" w:rsidRDefault="00F47FE3" w:rsidP="00F47FE3">
      <w:pPr>
        <w:spacing w:line="400" w:lineRule="exact"/>
        <w:ind w:firstLine="480"/>
        <w:rPr>
          <w:rFonts w:ascii="宋体" w:hAnsi="宋体"/>
          <w:sz w:val="24"/>
        </w:rPr>
      </w:pPr>
    </w:p>
    <w:p w:rsidR="00F967AC" w:rsidRPr="008D3D3D" w:rsidRDefault="00F967AC">
      <w:pPr>
        <w:rPr>
          <w:rFonts w:asciiTheme="minorEastAsia" w:hAnsiTheme="minorEastAsia"/>
          <w:sz w:val="28"/>
          <w:szCs w:val="28"/>
        </w:rPr>
      </w:pPr>
    </w:p>
    <w:sectPr w:rsidR="00F967AC" w:rsidRPr="008D3D3D" w:rsidSect="00292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0C0" w:rsidRDefault="007100C0" w:rsidP="007100C0">
      <w:r>
        <w:separator/>
      </w:r>
    </w:p>
  </w:endnote>
  <w:endnote w:type="continuationSeparator" w:id="0">
    <w:p w:rsidR="007100C0" w:rsidRDefault="007100C0" w:rsidP="0071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0C0" w:rsidRDefault="007100C0" w:rsidP="007100C0">
      <w:r>
        <w:separator/>
      </w:r>
    </w:p>
  </w:footnote>
  <w:footnote w:type="continuationSeparator" w:id="0">
    <w:p w:rsidR="007100C0" w:rsidRDefault="007100C0" w:rsidP="0071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990A41"/>
    <w:multiLevelType w:val="hybridMultilevel"/>
    <w:tmpl w:val="25AA5616"/>
    <w:lvl w:ilvl="0" w:tplc="A4DE5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D3D"/>
    <w:rsid w:val="00054909"/>
    <w:rsid w:val="00086361"/>
    <w:rsid w:val="00101920"/>
    <w:rsid w:val="00236F58"/>
    <w:rsid w:val="00262A2D"/>
    <w:rsid w:val="00292227"/>
    <w:rsid w:val="002F1082"/>
    <w:rsid w:val="00437716"/>
    <w:rsid w:val="00470A44"/>
    <w:rsid w:val="006C12E4"/>
    <w:rsid w:val="007100C0"/>
    <w:rsid w:val="007C20BD"/>
    <w:rsid w:val="008D3D3D"/>
    <w:rsid w:val="008F6CA9"/>
    <w:rsid w:val="009E62ED"/>
    <w:rsid w:val="00A35614"/>
    <w:rsid w:val="00B33CF3"/>
    <w:rsid w:val="00B96F9B"/>
    <w:rsid w:val="00BF353C"/>
    <w:rsid w:val="00CB345C"/>
    <w:rsid w:val="00D929BC"/>
    <w:rsid w:val="00DA6F14"/>
    <w:rsid w:val="00DF52FE"/>
    <w:rsid w:val="00E94297"/>
    <w:rsid w:val="00F47FE3"/>
    <w:rsid w:val="00F967AC"/>
    <w:rsid w:val="00FB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13FF06"/>
  <w15:docId w15:val="{FDB3602A-C540-46F2-8DA2-3C3F1579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D3D"/>
    <w:rPr>
      <w:b/>
      <w:bCs/>
    </w:rPr>
  </w:style>
  <w:style w:type="paragraph" w:styleId="a4">
    <w:name w:val="List Paragraph"/>
    <w:basedOn w:val="a"/>
    <w:uiPriority w:val="34"/>
    <w:qFormat/>
    <w:rsid w:val="008D3D3D"/>
    <w:pPr>
      <w:ind w:firstLineChars="200" w:firstLine="420"/>
    </w:pPr>
  </w:style>
  <w:style w:type="table" w:styleId="a5">
    <w:name w:val="Table Grid"/>
    <w:basedOn w:val="a1"/>
    <w:uiPriority w:val="59"/>
    <w:rsid w:val="008D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100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1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100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0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3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94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DEDEDE"/>
                            <w:right w:val="none" w:sz="0" w:space="0" w:color="auto"/>
                          </w:divBdr>
                        </w:div>
                        <w:div w:id="1561671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yao</dc:creator>
  <cp:keywords/>
  <dc:description/>
  <cp:lastModifiedBy>姚君</cp:lastModifiedBy>
  <cp:revision>5</cp:revision>
  <dcterms:created xsi:type="dcterms:W3CDTF">2020-07-02T06:09:00Z</dcterms:created>
  <dcterms:modified xsi:type="dcterms:W3CDTF">2020-07-03T03:06:00Z</dcterms:modified>
</cp:coreProperties>
</file>