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宁波市鄞州人民医院</w:t>
      </w:r>
      <w:r w:rsidR="00840090">
        <w:rPr>
          <w:rFonts w:hint="eastAsia"/>
          <w:b/>
          <w:bCs/>
          <w:sz w:val="32"/>
          <w:szCs w:val="32"/>
        </w:rPr>
        <w:t>医共体总院部分宣传项目采购</w:t>
      </w:r>
      <w:r w:rsidRPr="00336016">
        <w:rPr>
          <w:rFonts w:hint="eastAsia"/>
          <w:b/>
          <w:bCs/>
          <w:sz w:val="32"/>
          <w:szCs w:val="32"/>
        </w:rPr>
        <w:t>院内议标</w:t>
      </w:r>
      <w:r w:rsidR="00840090">
        <w:rPr>
          <w:rFonts w:hint="eastAsia"/>
          <w:b/>
          <w:bCs/>
          <w:sz w:val="32"/>
          <w:szCs w:val="32"/>
        </w:rPr>
        <w:t>公告</w:t>
      </w:r>
    </w:p>
    <w:p w:rsidR="008C5E65" w:rsidRPr="008C5E65" w:rsidRDefault="008C5E65" w:rsidP="00F5418E">
      <w:pPr>
        <w:spacing w:line="360" w:lineRule="auto"/>
        <w:rPr>
          <w:b/>
          <w:bCs/>
        </w:rPr>
      </w:pPr>
      <w:r>
        <w:rPr>
          <w:rFonts w:hint="eastAsia"/>
          <w:b/>
          <w:bCs/>
        </w:rPr>
        <w:t>项目一</w:t>
      </w:r>
      <w:r w:rsidRPr="008C5E65">
        <w:rPr>
          <w:rFonts w:hint="eastAsia"/>
          <w:b/>
          <w:bCs/>
        </w:rPr>
        <w:t>：本地市级媒体</w:t>
      </w:r>
      <w:r w:rsidRPr="008C5E65">
        <w:rPr>
          <w:rFonts w:hint="eastAsia"/>
          <w:b/>
          <w:bCs/>
        </w:rPr>
        <w:t>2020</w:t>
      </w:r>
      <w:r w:rsidRPr="008C5E65">
        <w:rPr>
          <w:rFonts w:hint="eastAsia"/>
          <w:b/>
          <w:bCs/>
        </w:rPr>
        <w:t>年度</w:t>
      </w:r>
      <w:r w:rsidRPr="008C5E65">
        <w:rPr>
          <w:rFonts w:hint="eastAsia"/>
          <w:b/>
          <w:bCs/>
        </w:rPr>
        <w:t>3</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市级及以上</w:t>
      </w:r>
      <w:r w:rsidR="00840090">
        <w:rPr>
          <w:rFonts w:hint="eastAsia"/>
        </w:rPr>
        <w:t>媒体</w:t>
      </w:r>
      <w:r w:rsidR="008030EE">
        <w:rPr>
          <w:rFonts w:hint="eastAsia"/>
        </w:rPr>
        <w:t>2020</w:t>
      </w:r>
      <w:r w:rsidR="008030EE">
        <w:rPr>
          <w:rFonts w:hint="eastAsia"/>
        </w:rPr>
        <w:t>年度</w:t>
      </w:r>
      <w:r w:rsidR="00840090">
        <w:rPr>
          <w:rFonts w:hint="eastAsia"/>
        </w:rPr>
        <w:t>3</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293E5F">
        <w:rPr>
          <w:rFonts w:hint="eastAsia"/>
        </w:rPr>
        <w:t>2</w:t>
      </w:r>
      <w:r w:rsidR="00840090">
        <w:rPr>
          <w:rFonts w:hint="eastAsia"/>
        </w:rPr>
        <w:t>9.8</w:t>
      </w:r>
      <w:r w:rsidR="00293E5F">
        <w:rPr>
          <w:rFonts w:hint="eastAsia"/>
        </w:rPr>
        <w:t>万元</w:t>
      </w:r>
    </w:p>
    <w:p w:rsidR="00FA7E98" w:rsidRPr="00FA7E98" w:rsidRDefault="00FA7E98" w:rsidP="00F5418E">
      <w:pPr>
        <w:spacing w:line="360" w:lineRule="auto"/>
        <w:rPr>
          <w:b/>
          <w:bCs/>
        </w:rPr>
      </w:pPr>
      <w:r w:rsidRPr="00FA7E98">
        <w:rPr>
          <w:rFonts w:hint="eastAsia"/>
          <w:b/>
          <w:bCs/>
        </w:rPr>
        <w:t>项目二、本地省级媒体</w:t>
      </w:r>
      <w:r w:rsidRPr="00FA7E98">
        <w:rPr>
          <w:rFonts w:hint="eastAsia"/>
          <w:b/>
          <w:bCs/>
        </w:rPr>
        <w:t>APP</w:t>
      </w:r>
      <w:r w:rsidRPr="00FA7E98">
        <w:rPr>
          <w:rFonts w:hint="eastAsia"/>
          <w:b/>
          <w:bCs/>
        </w:rPr>
        <w:t>专栏宣传服务（专题推送服务）</w:t>
      </w:r>
    </w:p>
    <w:p w:rsidR="00FA7E98" w:rsidRPr="00293E5F" w:rsidRDefault="00FA7E98" w:rsidP="00FA7E98">
      <w:pPr>
        <w:spacing w:line="360" w:lineRule="auto"/>
      </w:pPr>
      <w:r>
        <w:rPr>
          <w:rFonts w:hint="eastAsia"/>
          <w:b/>
          <w:bCs/>
        </w:rPr>
        <w:t>2.1</w:t>
      </w:r>
      <w:r>
        <w:rPr>
          <w:rFonts w:hint="eastAsia"/>
          <w:b/>
          <w:bCs/>
        </w:rPr>
        <w:t>、</w:t>
      </w:r>
      <w:r w:rsidRPr="008C73D8">
        <w:rPr>
          <w:rFonts w:hint="eastAsia"/>
          <w:b/>
          <w:bCs/>
        </w:rPr>
        <w:t>项目概况：</w:t>
      </w:r>
      <w:r>
        <w:rPr>
          <w:rFonts w:hint="eastAsia"/>
        </w:rPr>
        <w:t>为宣传我院“最多跑一次”、医共体建设等重点工作、亮点及先进事迹，扩大医院影响，现需采购本地省级媒体</w:t>
      </w:r>
      <w:r>
        <w:rPr>
          <w:rFonts w:hint="eastAsia"/>
        </w:rPr>
        <w:t>APP</w:t>
      </w:r>
      <w:r>
        <w:rPr>
          <w:rFonts w:hint="eastAsia"/>
        </w:rPr>
        <w:t>专栏宣传服务（专题推送服务），</w:t>
      </w:r>
      <w:r>
        <w:rPr>
          <w:rFonts w:hint="eastAsia"/>
        </w:rPr>
        <w:t>2020</w:t>
      </w:r>
      <w:r>
        <w:rPr>
          <w:rFonts w:hint="eastAsia"/>
        </w:rPr>
        <w:t>年度发布</w:t>
      </w:r>
      <w:r>
        <w:rPr>
          <w:rFonts w:hint="eastAsia"/>
        </w:rPr>
        <w:t>20</w:t>
      </w:r>
      <w:r>
        <w:rPr>
          <w:rFonts w:hint="eastAsia"/>
        </w:rPr>
        <w:t>篇主题宣传稿件。</w:t>
      </w:r>
    </w:p>
    <w:p w:rsidR="00FA7E98" w:rsidRDefault="00FA7E98" w:rsidP="00FA7E98">
      <w:pPr>
        <w:spacing w:line="360" w:lineRule="auto"/>
      </w:pPr>
      <w:r>
        <w:rPr>
          <w:rFonts w:hint="eastAsia"/>
          <w:b/>
          <w:bCs/>
        </w:rPr>
        <w:t>2.2</w:t>
      </w:r>
      <w:r>
        <w:rPr>
          <w:rFonts w:hint="eastAsia"/>
          <w:b/>
          <w:bCs/>
        </w:rPr>
        <w:t>、</w:t>
      </w:r>
      <w:r w:rsidRPr="00293E5F">
        <w:rPr>
          <w:rFonts w:hint="eastAsia"/>
          <w:b/>
          <w:bCs/>
        </w:rPr>
        <w:t>采购预算：</w:t>
      </w:r>
      <w:r>
        <w:rPr>
          <w:rFonts w:hint="eastAsia"/>
        </w:rPr>
        <w:t>6</w:t>
      </w:r>
      <w:r>
        <w:rPr>
          <w:rFonts w:hint="eastAsia"/>
        </w:rPr>
        <w:t>万元</w:t>
      </w:r>
    </w:p>
    <w:p w:rsidR="00FA7E98" w:rsidRDefault="00FA7E98" w:rsidP="00FA7E98">
      <w:pPr>
        <w:spacing w:line="360" w:lineRule="auto"/>
        <w:rPr>
          <w:b/>
          <w:bCs/>
        </w:rPr>
      </w:pPr>
      <w:r>
        <w:rPr>
          <w:rFonts w:hint="eastAsia"/>
          <w:b/>
          <w:bCs/>
        </w:rPr>
        <w:t>项目三、</w:t>
      </w:r>
      <w:r w:rsidRPr="00FA7E98">
        <w:rPr>
          <w:rFonts w:hint="eastAsia"/>
          <w:b/>
          <w:bCs/>
        </w:rPr>
        <w:t>宁波电视台三套《讲大道——生活》专栏专题宣传</w:t>
      </w:r>
    </w:p>
    <w:p w:rsidR="00FA7E98" w:rsidRPr="00293E5F" w:rsidRDefault="00FA7E98" w:rsidP="00FA7E98">
      <w:pPr>
        <w:spacing w:line="360" w:lineRule="auto"/>
      </w:pPr>
      <w:r>
        <w:rPr>
          <w:rFonts w:hint="eastAsia"/>
          <w:b/>
          <w:bCs/>
        </w:rPr>
        <w:t>3.1</w:t>
      </w:r>
      <w:r>
        <w:rPr>
          <w:rFonts w:hint="eastAsia"/>
          <w:b/>
          <w:bCs/>
        </w:rPr>
        <w:t>、</w:t>
      </w:r>
      <w:r w:rsidRPr="008C73D8">
        <w:rPr>
          <w:rFonts w:hint="eastAsia"/>
          <w:b/>
          <w:bCs/>
        </w:rPr>
        <w:t>项目概况：</w:t>
      </w:r>
      <w:r>
        <w:rPr>
          <w:rFonts w:hint="eastAsia"/>
        </w:rPr>
        <w:t>为扩大我院影响力，宣传名医名科，现拟采购宁波电视台三套《讲大道——生活》专栏以专题形式宣传医院名医名科。全年</w:t>
      </w:r>
      <w:r>
        <w:rPr>
          <w:rFonts w:hint="eastAsia"/>
        </w:rPr>
        <w:t>12</w:t>
      </w:r>
      <w:r>
        <w:rPr>
          <w:rFonts w:hint="eastAsia"/>
        </w:rPr>
        <w:t>次。</w:t>
      </w:r>
    </w:p>
    <w:p w:rsidR="00FA7E98" w:rsidRDefault="00FA7E98" w:rsidP="00FA7E98">
      <w:pPr>
        <w:spacing w:line="360" w:lineRule="auto"/>
      </w:pPr>
      <w:r>
        <w:rPr>
          <w:rFonts w:hint="eastAsia"/>
          <w:b/>
          <w:bCs/>
        </w:rPr>
        <w:t>3.2</w:t>
      </w:r>
      <w:r>
        <w:rPr>
          <w:rFonts w:hint="eastAsia"/>
          <w:b/>
          <w:bCs/>
        </w:rPr>
        <w:t>、</w:t>
      </w:r>
      <w:r w:rsidRPr="00293E5F">
        <w:rPr>
          <w:rFonts w:hint="eastAsia"/>
          <w:b/>
          <w:bCs/>
        </w:rPr>
        <w:t>采购预算：</w:t>
      </w:r>
      <w:r>
        <w:rPr>
          <w:rFonts w:hint="eastAsia"/>
          <w:b/>
          <w:bCs/>
        </w:rPr>
        <w:t>12</w:t>
      </w:r>
      <w:r>
        <w:rPr>
          <w:rFonts w:hint="eastAsia"/>
        </w:rPr>
        <w:t>万元</w:t>
      </w:r>
    </w:p>
    <w:p w:rsidR="00FA7E98" w:rsidRDefault="00FA7E98" w:rsidP="00FA7E98">
      <w:pPr>
        <w:spacing w:line="360" w:lineRule="auto"/>
        <w:rPr>
          <w:b/>
          <w:bCs/>
        </w:rPr>
      </w:pPr>
      <w:r>
        <w:rPr>
          <w:rFonts w:hint="eastAsia"/>
          <w:b/>
          <w:bCs/>
        </w:rPr>
        <w:t>项目四、</w:t>
      </w:r>
      <w:r w:rsidR="00A43EFF">
        <w:rPr>
          <w:rFonts w:hint="eastAsia"/>
          <w:b/>
          <w:bCs/>
        </w:rPr>
        <w:t>本区</w:t>
      </w:r>
      <w:r w:rsidRPr="00FA7E98">
        <w:rPr>
          <w:rFonts w:hint="eastAsia"/>
          <w:b/>
          <w:bCs/>
        </w:rPr>
        <w:t>媒体宣传版面</w:t>
      </w:r>
      <w:r>
        <w:rPr>
          <w:rFonts w:hint="eastAsia"/>
          <w:b/>
          <w:bCs/>
        </w:rPr>
        <w:t>（版面数量按需）</w:t>
      </w:r>
    </w:p>
    <w:p w:rsidR="00FA7E98" w:rsidRPr="00293E5F" w:rsidRDefault="00FA7E98" w:rsidP="00FA7E98">
      <w:pPr>
        <w:spacing w:line="360" w:lineRule="auto"/>
      </w:pPr>
      <w:r>
        <w:rPr>
          <w:rFonts w:hint="eastAsia"/>
          <w:b/>
          <w:bCs/>
        </w:rPr>
        <w:t>4.1</w:t>
      </w:r>
      <w:r>
        <w:rPr>
          <w:rFonts w:hint="eastAsia"/>
          <w:b/>
          <w:bCs/>
        </w:rPr>
        <w:t>、</w:t>
      </w:r>
      <w:r w:rsidRPr="008C73D8">
        <w:rPr>
          <w:rFonts w:hint="eastAsia"/>
          <w:b/>
          <w:bCs/>
        </w:rPr>
        <w:t>项目概况：</w:t>
      </w:r>
      <w:r>
        <w:rPr>
          <w:rFonts w:hint="eastAsia"/>
        </w:rPr>
        <w:t>为扩大我</w:t>
      </w:r>
      <w:bookmarkStart w:id="0" w:name="_GoBack"/>
      <w:bookmarkEnd w:id="0"/>
      <w:r>
        <w:rPr>
          <w:rFonts w:hint="eastAsia"/>
        </w:rPr>
        <w:t>院影响力，宣传名医名科及工作亮点和特色，现拟采购本地媒体宣传版面，按需采购，要求以单价形式分别报价：（</w:t>
      </w:r>
      <w:r>
        <w:rPr>
          <w:rFonts w:hint="eastAsia"/>
        </w:rPr>
        <w:t>1</w:t>
      </w:r>
      <w:r>
        <w:rPr>
          <w:rFonts w:hint="eastAsia"/>
        </w:rPr>
        <w:t>）整版（</w:t>
      </w:r>
      <w:r>
        <w:rPr>
          <w:rFonts w:hint="eastAsia"/>
        </w:rPr>
        <w:t>48*32cm</w:t>
      </w:r>
      <w:r>
        <w:rPr>
          <w:rFonts w:hint="eastAsia"/>
        </w:rPr>
        <w:t>）</w:t>
      </w:r>
      <w:r>
        <w:rPr>
          <w:rFonts w:hint="eastAsia"/>
        </w:rPr>
        <w:t xml:space="preserve"> </w:t>
      </w:r>
      <w:r>
        <w:rPr>
          <w:rFonts w:hint="eastAsia"/>
        </w:rPr>
        <w:t>（</w:t>
      </w:r>
      <w:r>
        <w:rPr>
          <w:rFonts w:hint="eastAsia"/>
        </w:rPr>
        <w:t>2</w:t>
      </w:r>
      <w:r>
        <w:rPr>
          <w:rFonts w:hint="eastAsia"/>
        </w:rPr>
        <w:t>）头版（</w:t>
      </w:r>
      <w:r>
        <w:rPr>
          <w:rFonts w:hint="eastAsia"/>
        </w:rPr>
        <w:t>24*32cm</w:t>
      </w:r>
      <w:r>
        <w:rPr>
          <w:rFonts w:hint="eastAsia"/>
        </w:rPr>
        <w:t>）（</w:t>
      </w:r>
      <w:r>
        <w:rPr>
          <w:rFonts w:hint="eastAsia"/>
        </w:rPr>
        <w:t>3</w:t>
      </w:r>
      <w:r>
        <w:rPr>
          <w:rFonts w:hint="eastAsia"/>
        </w:rPr>
        <w:t>）头版（</w:t>
      </w:r>
      <w:r>
        <w:rPr>
          <w:rFonts w:hint="eastAsia"/>
        </w:rPr>
        <w:t>10*32cm</w:t>
      </w:r>
      <w:r>
        <w:rPr>
          <w:rFonts w:hint="eastAsia"/>
        </w:rPr>
        <w:t>）。</w:t>
      </w:r>
    </w:p>
    <w:p w:rsidR="00FA7E98" w:rsidRPr="00FA7E98" w:rsidRDefault="00FA7E98" w:rsidP="00F5418E">
      <w:pPr>
        <w:spacing w:line="360" w:lineRule="auto"/>
        <w:rPr>
          <w:b/>
          <w:bCs/>
        </w:rPr>
      </w:pPr>
      <w:r w:rsidRPr="00FA7E98">
        <w:rPr>
          <w:rFonts w:hint="eastAsia"/>
          <w:b/>
          <w:bCs/>
        </w:rPr>
        <w:t>项目五、本地区级及以上媒体</w:t>
      </w:r>
      <w:r w:rsidRPr="00FA7E98">
        <w:rPr>
          <w:rFonts w:hint="eastAsia"/>
          <w:b/>
          <w:bCs/>
        </w:rPr>
        <w:t>APP</w:t>
      </w:r>
      <w:r w:rsidRPr="00FA7E98">
        <w:rPr>
          <w:rFonts w:hint="eastAsia"/>
          <w:b/>
          <w:bCs/>
        </w:rPr>
        <w:t>专栏宣传服务（专题推送服务）</w:t>
      </w:r>
    </w:p>
    <w:p w:rsidR="00FA7E98" w:rsidRPr="00250075" w:rsidRDefault="00FA7E98" w:rsidP="00FA7E98">
      <w:pPr>
        <w:spacing w:line="360" w:lineRule="auto"/>
      </w:pPr>
      <w:r>
        <w:rPr>
          <w:rFonts w:hint="eastAsia"/>
          <w:b/>
          <w:bCs/>
        </w:rPr>
        <w:t>5.1</w:t>
      </w:r>
      <w:r>
        <w:rPr>
          <w:rFonts w:hint="eastAsia"/>
          <w:b/>
          <w:bCs/>
        </w:rPr>
        <w:t>、</w:t>
      </w:r>
      <w:r w:rsidRPr="008C73D8">
        <w:rPr>
          <w:rFonts w:hint="eastAsia"/>
          <w:b/>
          <w:bCs/>
        </w:rPr>
        <w:t>项目概况：</w:t>
      </w:r>
      <w:r>
        <w:rPr>
          <w:rFonts w:hint="eastAsia"/>
        </w:rPr>
        <w:t>为宣传我院重点工作、名医名科，公益性活动等内容，扩大医院影响，现需采购本地区级及以上媒体</w:t>
      </w:r>
      <w:r>
        <w:rPr>
          <w:rFonts w:hint="eastAsia"/>
        </w:rPr>
        <w:t>APP</w:t>
      </w:r>
      <w:r>
        <w:rPr>
          <w:rFonts w:hint="eastAsia"/>
        </w:rPr>
        <w:t>专栏宣传服务（专题推送服务），每月在</w:t>
      </w:r>
      <w:r>
        <w:rPr>
          <w:rFonts w:hint="eastAsia"/>
        </w:rPr>
        <w:t>APP</w:t>
      </w:r>
      <w:r>
        <w:rPr>
          <w:rFonts w:hint="eastAsia"/>
        </w:rPr>
        <w:t>上推送五条专题信息，全年</w:t>
      </w:r>
      <w:r>
        <w:rPr>
          <w:rFonts w:hint="eastAsia"/>
        </w:rPr>
        <w:t>60</w:t>
      </w:r>
      <w:r>
        <w:rPr>
          <w:rFonts w:hint="eastAsia"/>
        </w:rPr>
        <w:t>条。</w:t>
      </w:r>
    </w:p>
    <w:p w:rsidR="00FA7E98" w:rsidRDefault="00FA7E98" w:rsidP="00FA7E98">
      <w:pPr>
        <w:spacing w:line="360" w:lineRule="auto"/>
      </w:pPr>
      <w:r>
        <w:rPr>
          <w:rFonts w:hint="eastAsia"/>
          <w:b/>
          <w:bCs/>
        </w:rPr>
        <w:t>5.2</w:t>
      </w:r>
      <w:r>
        <w:rPr>
          <w:rFonts w:hint="eastAsia"/>
          <w:b/>
          <w:bCs/>
        </w:rPr>
        <w:t>、</w:t>
      </w:r>
      <w:r w:rsidRPr="00293E5F">
        <w:rPr>
          <w:rFonts w:hint="eastAsia"/>
          <w:b/>
          <w:bCs/>
        </w:rPr>
        <w:t>采购预算：</w:t>
      </w:r>
      <w:r>
        <w:rPr>
          <w:rFonts w:hint="eastAsia"/>
          <w:b/>
          <w:bCs/>
        </w:rPr>
        <w:t>10</w:t>
      </w:r>
      <w:r>
        <w:rPr>
          <w:rFonts w:hint="eastAsia"/>
        </w:rPr>
        <w:t>万元</w:t>
      </w:r>
    </w:p>
    <w:p w:rsidR="0013026B" w:rsidRDefault="0013026B" w:rsidP="00FA7E98">
      <w:pPr>
        <w:spacing w:line="360" w:lineRule="auto"/>
        <w:rPr>
          <w:b/>
        </w:rPr>
      </w:pPr>
      <w:r w:rsidRPr="0013026B">
        <w:rPr>
          <w:rFonts w:hint="eastAsia"/>
          <w:b/>
        </w:rPr>
        <w:t>项目六、</w:t>
      </w:r>
      <w:r>
        <w:rPr>
          <w:rFonts w:hint="eastAsia"/>
          <w:b/>
        </w:rPr>
        <w:t>本地媒体平台宣传服务</w:t>
      </w:r>
    </w:p>
    <w:p w:rsidR="0013026B" w:rsidRPr="00250075" w:rsidRDefault="0013026B" w:rsidP="0013026B">
      <w:pPr>
        <w:spacing w:line="360" w:lineRule="auto"/>
      </w:pPr>
      <w:r>
        <w:rPr>
          <w:rFonts w:hint="eastAsia"/>
          <w:b/>
          <w:bCs/>
        </w:rPr>
        <w:t>6.1</w:t>
      </w:r>
      <w:r>
        <w:rPr>
          <w:rFonts w:hint="eastAsia"/>
          <w:b/>
          <w:bCs/>
        </w:rPr>
        <w:t>、</w:t>
      </w:r>
      <w:r w:rsidRPr="008C73D8">
        <w:rPr>
          <w:rFonts w:hint="eastAsia"/>
          <w:b/>
          <w:bCs/>
        </w:rPr>
        <w:t>项目概况：</w:t>
      </w:r>
      <w:r>
        <w:rPr>
          <w:rFonts w:hint="eastAsia"/>
        </w:rPr>
        <w:t>承担我院《鄞州人民医院报》</w:t>
      </w:r>
      <w:r>
        <w:rPr>
          <w:rFonts w:hint="eastAsia"/>
        </w:rPr>
        <w:t>2020</w:t>
      </w:r>
      <w:r>
        <w:rPr>
          <w:rFonts w:hint="eastAsia"/>
        </w:rPr>
        <w:t>年度的出刊、印刷、发行工作，以及每两个月一期</w:t>
      </w:r>
      <w:r>
        <w:rPr>
          <w:rFonts w:hint="eastAsia"/>
        </w:rPr>
        <w:t>4</w:t>
      </w:r>
      <w:r>
        <w:rPr>
          <w:rFonts w:hint="eastAsia"/>
        </w:rPr>
        <w:t>个版面，内容以专家访谈、名医时间、医学科普、医院管理、新技术特色等为主，并根据院方需要及时推送指定宣传内容，开展健康日或专题健康活动。</w:t>
      </w:r>
    </w:p>
    <w:p w:rsidR="0013026B" w:rsidRPr="0013026B" w:rsidRDefault="0013026B" w:rsidP="00FA7E98">
      <w:pPr>
        <w:spacing w:line="360" w:lineRule="auto"/>
        <w:rPr>
          <w:b/>
        </w:rPr>
      </w:pPr>
      <w:r>
        <w:rPr>
          <w:rFonts w:hint="eastAsia"/>
          <w:b/>
          <w:bCs/>
        </w:rPr>
        <w:t>6.2</w:t>
      </w:r>
      <w:r>
        <w:rPr>
          <w:rFonts w:hint="eastAsia"/>
          <w:b/>
          <w:bCs/>
        </w:rPr>
        <w:t>、</w:t>
      </w:r>
      <w:r w:rsidRPr="00293E5F">
        <w:rPr>
          <w:rFonts w:hint="eastAsia"/>
          <w:b/>
          <w:bCs/>
        </w:rPr>
        <w:t>采购预算：</w:t>
      </w:r>
      <w:r>
        <w:rPr>
          <w:rFonts w:hint="eastAsia"/>
          <w:b/>
          <w:bCs/>
        </w:rPr>
        <w:t>10</w:t>
      </w:r>
      <w:r>
        <w:rPr>
          <w:rFonts w:hint="eastAsia"/>
        </w:rPr>
        <w:t>万元</w:t>
      </w:r>
    </w:p>
    <w:p w:rsidR="00567EFC" w:rsidRPr="00311372" w:rsidRDefault="00FA7E98" w:rsidP="00311372">
      <w:pPr>
        <w:spacing w:line="360" w:lineRule="auto"/>
        <w:ind w:firstLineChars="194" w:firstLine="407"/>
        <w:rPr>
          <w:bCs/>
        </w:rPr>
      </w:pPr>
      <w:r w:rsidRPr="00311372">
        <w:rPr>
          <w:rFonts w:hint="eastAsia"/>
          <w:bCs/>
        </w:rPr>
        <w:lastRenderedPageBreak/>
        <w:t>宁波市鄞州人民医院医共体总院就以上</w:t>
      </w:r>
      <w:r w:rsidR="00567EFC" w:rsidRPr="00311372">
        <w:rPr>
          <w:rFonts w:hint="eastAsia"/>
          <w:bCs/>
        </w:rPr>
        <w:t>项目</w:t>
      </w:r>
      <w:r w:rsidRPr="00311372">
        <w:rPr>
          <w:rFonts w:hint="eastAsia"/>
          <w:bCs/>
        </w:rPr>
        <w:t>进行院内议标，欢迎符合条件的相关单位前来报名参加议标</w:t>
      </w:r>
      <w:r w:rsidR="00567EFC" w:rsidRPr="00311372">
        <w:rPr>
          <w:rFonts w:hint="eastAsia"/>
          <w:bCs/>
        </w:rPr>
        <w:t>。</w:t>
      </w:r>
    </w:p>
    <w:p w:rsidR="0087586E" w:rsidRPr="00311372" w:rsidRDefault="00FA7E98" w:rsidP="00311372">
      <w:pPr>
        <w:spacing w:line="360" w:lineRule="auto"/>
        <w:ind w:firstLineChars="196" w:firstLine="412"/>
        <w:rPr>
          <w:bCs/>
        </w:rPr>
      </w:pPr>
      <w:r w:rsidRPr="00311372">
        <w:rPr>
          <w:rFonts w:hint="eastAsia"/>
          <w:bCs/>
        </w:rPr>
        <w:t>报名</w:t>
      </w:r>
      <w:r w:rsidR="0087586E" w:rsidRPr="00311372">
        <w:rPr>
          <w:rFonts w:hint="eastAsia"/>
          <w:bCs/>
        </w:rPr>
        <w:t>截至</w:t>
      </w:r>
      <w:r w:rsidRPr="00311372">
        <w:rPr>
          <w:rFonts w:hint="eastAsia"/>
          <w:bCs/>
        </w:rPr>
        <w:t>20</w:t>
      </w:r>
      <w:r w:rsidR="00EF4D0D" w:rsidRPr="00311372">
        <w:rPr>
          <w:rFonts w:hint="eastAsia"/>
          <w:bCs/>
        </w:rPr>
        <w:t>19</w:t>
      </w:r>
      <w:r w:rsidRPr="00311372">
        <w:rPr>
          <w:rFonts w:hint="eastAsia"/>
          <w:bCs/>
        </w:rPr>
        <w:t>年</w:t>
      </w:r>
      <w:r w:rsidRPr="00311372">
        <w:rPr>
          <w:rFonts w:hint="eastAsia"/>
          <w:bCs/>
        </w:rPr>
        <w:t>12</w:t>
      </w:r>
      <w:r w:rsidR="00EF4D0D" w:rsidRPr="00311372">
        <w:rPr>
          <w:rFonts w:hint="eastAsia"/>
          <w:bCs/>
        </w:rPr>
        <w:t>月</w:t>
      </w:r>
      <w:r w:rsidR="0087586E" w:rsidRPr="00311372">
        <w:rPr>
          <w:rFonts w:hint="eastAsia"/>
          <w:bCs/>
        </w:rPr>
        <w:t>27</w:t>
      </w:r>
      <w:r w:rsidR="0087586E" w:rsidRPr="00311372">
        <w:rPr>
          <w:rFonts w:hint="eastAsia"/>
          <w:bCs/>
        </w:rPr>
        <w:t>日上午</w:t>
      </w:r>
      <w:r w:rsidR="0087586E" w:rsidRPr="00311372">
        <w:rPr>
          <w:rFonts w:hint="eastAsia"/>
          <w:bCs/>
        </w:rPr>
        <w:t>11</w:t>
      </w:r>
      <w:r w:rsidR="0087586E" w:rsidRPr="00311372">
        <w:rPr>
          <w:rFonts w:hint="eastAsia"/>
          <w:bCs/>
        </w:rPr>
        <w:t>时，报名联系人：王老师，电话</w:t>
      </w:r>
      <w:r w:rsidR="0087586E" w:rsidRPr="00311372">
        <w:rPr>
          <w:rFonts w:hint="eastAsia"/>
          <w:bCs/>
        </w:rPr>
        <w:t xml:space="preserve"> 87017665</w:t>
      </w:r>
      <w:r w:rsidR="0087586E" w:rsidRPr="00311372">
        <w:rPr>
          <w:rFonts w:hint="eastAsia"/>
          <w:bCs/>
        </w:rPr>
        <w:t>。议标时间</w:t>
      </w:r>
      <w:r w:rsidR="0087586E" w:rsidRPr="00311372">
        <w:rPr>
          <w:rFonts w:hint="eastAsia"/>
          <w:bCs/>
        </w:rPr>
        <w:t>2019</w:t>
      </w:r>
      <w:r w:rsidR="0087586E" w:rsidRPr="00311372">
        <w:rPr>
          <w:rFonts w:hint="eastAsia"/>
          <w:bCs/>
        </w:rPr>
        <w:t>年</w:t>
      </w:r>
      <w:r w:rsidR="0087586E" w:rsidRPr="00311372">
        <w:rPr>
          <w:rFonts w:hint="eastAsia"/>
          <w:bCs/>
        </w:rPr>
        <w:t>12</w:t>
      </w:r>
      <w:r w:rsidR="0087586E" w:rsidRPr="00311372">
        <w:rPr>
          <w:rFonts w:hint="eastAsia"/>
          <w:bCs/>
        </w:rPr>
        <w:t>月</w:t>
      </w:r>
      <w:r w:rsidR="0087586E" w:rsidRPr="00311372">
        <w:rPr>
          <w:rFonts w:hint="eastAsia"/>
          <w:bCs/>
        </w:rPr>
        <w:t>27</w:t>
      </w:r>
      <w:r w:rsidR="0087586E" w:rsidRPr="00311372">
        <w:rPr>
          <w:rFonts w:hint="eastAsia"/>
          <w:bCs/>
        </w:rPr>
        <w:t>日下午</w:t>
      </w:r>
      <w:r w:rsidR="0087586E" w:rsidRPr="00311372">
        <w:rPr>
          <w:rFonts w:hint="eastAsia"/>
          <w:bCs/>
        </w:rPr>
        <w:t>2</w:t>
      </w:r>
      <w:r w:rsidR="0087586E" w:rsidRPr="00311372">
        <w:rPr>
          <w:rFonts w:hint="eastAsia"/>
          <w:bCs/>
        </w:rPr>
        <w:t>时，地点</w:t>
      </w:r>
      <w:r w:rsidR="0087586E" w:rsidRPr="00311372">
        <w:rPr>
          <w:rFonts w:hint="eastAsia"/>
          <w:bCs/>
        </w:rPr>
        <w:t>17-2</w:t>
      </w:r>
      <w:r w:rsidR="0087586E" w:rsidRPr="00311372">
        <w:rPr>
          <w:rFonts w:hint="eastAsia"/>
          <w:bCs/>
        </w:rPr>
        <w:t>号楼</w:t>
      </w:r>
      <w:r w:rsidR="0087586E" w:rsidRPr="00311372">
        <w:rPr>
          <w:rFonts w:hint="eastAsia"/>
          <w:bCs/>
        </w:rPr>
        <w:t>306</w:t>
      </w:r>
      <w:r w:rsidR="0087586E" w:rsidRPr="00311372">
        <w:rPr>
          <w:rFonts w:hint="eastAsia"/>
          <w:bCs/>
        </w:rPr>
        <w:t>会议室。</w:t>
      </w:r>
    </w:p>
    <w:p w:rsidR="007922E3" w:rsidRPr="00311372" w:rsidRDefault="00311372" w:rsidP="00311372">
      <w:pPr>
        <w:spacing w:line="360" w:lineRule="auto"/>
        <w:jc w:val="right"/>
        <w:rPr>
          <w:bCs/>
        </w:rPr>
      </w:pPr>
      <w:r w:rsidRPr="00311372">
        <w:rPr>
          <w:rFonts w:hint="eastAsia"/>
          <w:bCs/>
        </w:rPr>
        <w:t>宁波市鄞州人民医院医共体</w:t>
      </w:r>
    </w:p>
    <w:p w:rsidR="00C008B7" w:rsidRDefault="00311372" w:rsidP="00311372">
      <w:pPr>
        <w:jc w:val="right"/>
      </w:pPr>
      <w:r w:rsidRPr="00311372">
        <w:rPr>
          <w:rFonts w:hint="eastAsia"/>
        </w:rPr>
        <w:t>2019</w:t>
      </w:r>
      <w:r w:rsidRPr="00311372">
        <w:rPr>
          <w:rFonts w:hint="eastAsia"/>
        </w:rPr>
        <w:t>年</w:t>
      </w:r>
      <w:r w:rsidRPr="00311372">
        <w:rPr>
          <w:rFonts w:hint="eastAsia"/>
        </w:rPr>
        <w:t>12</w:t>
      </w:r>
      <w:r w:rsidRPr="00311372">
        <w:rPr>
          <w:rFonts w:hint="eastAsia"/>
        </w:rPr>
        <w:t>月</w:t>
      </w:r>
      <w:r w:rsidRPr="00311372">
        <w:rPr>
          <w:rFonts w:hint="eastAsia"/>
        </w:rPr>
        <w:t>20</w:t>
      </w:r>
      <w:r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分统一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8C73D8">
            <w:pPr>
              <w:rPr>
                <w:rFonts w:ascii="宋体" w:hAnsi="宋体"/>
                <w:color w:val="000000"/>
              </w:rPr>
            </w:pPr>
            <w:r w:rsidRPr="00584982">
              <w:rPr>
                <w:rFonts w:ascii="宋体" w:hAnsi="宋体" w:hint="eastAsia"/>
              </w:rPr>
              <w:t>根据供应商在本行业内的知名度（专业能力 、公司规模和注册资金、人员实力、服务能力）等进行综合评议，优得10.0－7.0，良得6.9－4.0，其他得3.9－0分。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8C73D8" w:rsidP="008C73D8">
            <w:pPr>
              <w:rPr>
                <w:rFonts w:ascii="宋体" w:hAnsi="宋体"/>
              </w:rPr>
            </w:pPr>
            <w:r w:rsidRPr="00584982">
              <w:rPr>
                <w:rFonts w:ascii="宋体" w:hAnsi="宋体" w:hint="eastAsia"/>
              </w:rPr>
              <w:t>近3年供应商承接过的类似项目业绩的，每个项目得1分；最高得5分。（投标文件须附加盖公章的合同复印件或费用清单复印件，时间以合同签订时间为准，原件备查）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C73D8">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Pr>
                <w:rFonts w:ascii="宋体" w:hAnsi="宋体" w:cs="宋体" w:hint="eastAsia"/>
              </w:rPr>
              <w:t>20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案合理性，进行综合评议：优得</w:t>
            </w:r>
            <w:r>
              <w:rPr>
                <w:rFonts w:ascii="宋体" w:hAnsi="宋体" w:hint="eastAsia"/>
              </w:rPr>
              <w:t>20</w:t>
            </w:r>
            <w:r w:rsidRPr="00584982">
              <w:rPr>
                <w:rFonts w:ascii="宋体" w:hAnsi="宋体" w:cs="宋体" w:hint="eastAsia"/>
              </w:rPr>
              <w:t>－</w:t>
            </w:r>
            <w:r w:rsidRPr="00584982">
              <w:rPr>
                <w:rFonts w:ascii="宋体" w:hAnsi="宋体" w:hint="eastAsia"/>
              </w:rPr>
              <w:t>1</w:t>
            </w:r>
            <w:r>
              <w:rPr>
                <w:rFonts w:ascii="宋体" w:hAnsi="宋体" w:hint="eastAsia"/>
              </w:rPr>
              <w:t>5</w:t>
            </w:r>
            <w:r w:rsidRPr="00584982">
              <w:rPr>
                <w:rFonts w:ascii="宋体" w:hAnsi="宋体" w:cs="宋体" w:hint="eastAsia"/>
              </w:rPr>
              <w:t>分，良得</w:t>
            </w:r>
            <w:r w:rsidRPr="00584982">
              <w:rPr>
                <w:rFonts w:ascii="宋体" w:hAnsi="宋体" w:hint="eastAsia"/>
              </w:rPr>
              <w:t>1</w:t>
            </w:r>
            <w:r>
              <w:rPr>
                <w:rFonts w:ascii="宋体" w:hAnsi="宋体" w:hint="eastAsia"/>
              </w:rPr>
              <w:t>4</w:t>
            </w:r>
            <w:r w:rsidRPr="00584982">
              <w:rPr>
                <w:rFonts w:ascii="宋体" w:hAnsi="宋体" w:hint="eastAsia"/>
              </w:rPr>
              <w:t>.9</w:t>
            </w:r>
            <w:r w:rsidRPr="00584982">
              <w:rPr>
                <w:rFonts w:ascii="宋体" w:hAnsi="宋体" w:cs="宋体" w:hint="eastAsia"/>
              </w:rPr>
              <w:t>－</w:t>
            </w:r>
            <w:r>
              <w:rPr>
                <w:rFonts w:ascii="宋体" w:hAnsi="宋体" w:cs="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C73D8">
            <w:pPr>
              <w:ind w:left="105" w:hangingChars="50" w:hanging="105"/>
              <w:rPr>
                <w:rFonts w:ascii="宋体" w:hAnsi="宋体"/>
                <w:color w:val="000000"/>
              </w:rPr>
            </w:pPr>
            <w:r w:rsidRPr="00584982">
              <w:rPr>
                <w:rFonts w:ascii="宋体" w:hAnsi="宋体" w:hint="eastAsia"/>
                <w:color w:val="000000"/>
              </w:rPr>
              <w:t>2）售后服务（</w:t>
            </w:r>
            <w:r>
              <w:rPr>
                <w:rFonts w:ascii="宋体" w:hAnsi="宋体" w:hint="eastAsia"/>
                <w:color w:val="000000"/>
              </w:rPr>
              <w:t>25</w:t>
            </w:r>
            <w:r w:rsidRPr="00584982">
              <w:rPr>
                <w:rFonts w:ascii="宋体" w:hAnsi="宋体" w:hint="eastAsia"/>
                <w:color w:val="000000"/>
              </w:rPr>
              <w:t>分）根据投标单位提供的</w:t>
            </w:r>
            <w:r>
              <w:rPr>
                <w:rFonts w:ascii="宋体" w:hAnsi="宋体" w:hint="eastAsia"/>
                <w:color w:val="000000"/>
              </w:rPr>
              <w:t>其他配件质保</w:t>
            </w:r>
            <w:r w:rsidRPr="00584982">
              <w:rPr>
                <w:rFonts w:ascii="宋体" w:hAnsi="宋体" w:hint="eastAsia"/>
                <w:color w:val="000000"/>
              </w:rPr>
              <w:t>年限和</w:t>
            </w:r>
            <w:r>
              <w:rPr>
                <w:rFonts w:ascii="宋体" w:hAnsi="宋体" w:hint="eastAsia"/>
                <w:color w:val="000000"/>
              </w:rPr>
              <w:t>供货价格以及</w:t>
            </w:r>
            <w:r w:rsidRPr="00584982">
              <w:rPr>
                <w:rFonts w:ascii="宋体" w:hAnsi="宋体" w:hint="eastAsia"/>
                <w:color w:val="000000"/>
              </w:rPr>
              <w:t>售后服务承诺进行评议，</w:t>
            </w:r>
            <w:r w:rsidRPr="00584982">
              <w:rPr>
                <w:rFonts w:ascii="宋体" w:hAnsi="宋体" w:cs="宋体" w:hint="eastAsia"/>
              </w:rPr>
              <w:t>优得</w:t>
            </w:r>
            <w:r>
              <w:rPr>
                <w:rFonts w:ascii="宋体" w:hAnsi="宋体" w:hint="eastAsia"/>
              </w:rPr>
              <w:t>25</w:t>
            </w:r>
            <w:r w:rsidRPr="00584982">
              <w:rPr>
                <w:rFonts w:ascii="宋体" w:hAnsi="宋体" w:cs="宋体" w:hint="eastAsia"/>
              </w:rPr>
              <w:t>－</w:t>
            </w:r>
            <w:r>
              <w:rPr>
                <w:rFonts w:ascii="宋体" w:hAnsi="宋体" w:hint="eastAsia"/>
              </w:rPr>
              <w:t>18</w:t>
            </w:r>
            <w:r w:rsidRPr="00584982">
              <w:rPr>
                <w:rFonts w:ascii="宋体" w:hAnsi="宋体" w:cs="宋体" w:hint="eastAsia"/>
              </w:rPr>
              <w:t>分，良得</w:t>
            </w:r>
            <w:r>
              <w:rPr>
                <w:rFonts w:ascii="宋体" w:hAnsi="宋体" w:cs="宋体" w:hint="eastAsia"/>
              </w:rPr>
              <w:t>1</w:t>
            </w:r>
            <w:r w:rsidRPr="00584982">
              <w:rPr>
                <w:rFonts w:ascii="宋体" w:hAnsi="宋体" w:hint="eastAsia"/>
              </w:rPr>
              <w:t>7.9</w:t>
            </w:r>
            <w:r w:rsidRPr="00584982">
              <w:rPr>
                <w:rFonts w:ascii="宋体" w:hAnsi="宋体" w:cs="宋体" w:hint="eastAsia"/>
              </w:rPr>
              <w:t>－</w:t>
            </w:r>
            <w:r>
              <w:rPr>
                <w:rFonts w:ascii="宋体" w:hAnsi="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124B0A"/>
    <w:rsid w:val="0013026B"/>
    <w:rsid w:val="001B19D1"/>
    <w:rsid w:val="001D008D"/>
    <w:rsid w:val="001D6BE3"/>
    <w:rsid w:val="00250075"/>
    <w:rsid w:val="002827C6"/>
    <w:rsid w:val="00293E5F"/>
    <w:rsid w:val="00311372"/>
    <w:rsid w:val="00336016"/>
    <w:rsid w:val="003D3210"/>
    <w:rsid w:val="00425907"/>
    <w:rsid w:val="004365DD"/>
    <w:rsid w:val="00453F58"/>
    <w:rsid w:val="00507B66"/>
    <w:rsid w:val="00545DFC"/>
    <w:rsid w:val="00567EFC"/>
    <w:rsid w:val="005E08FC"/>
    <w:rsid w:val="007034ED"/>
    <w:rsid w:val="007922E3"/>
    <w:rsid w:val="008030EE"/>
    <w:rsid w:val="0082188E"/>
    <w:rsid w:val="00840090"/>
    <w:rsid w:val="0087586E"/>
    <w:rsid w:val="008C5E65"/>
    <w:rsid w:val="008C73D8"/>
    <w:rsid w:val="00A43EFF"/>
    <w:rsid w:val="00A5012D"/>
    <w:rsid w:val="00AA62C3"/>
    <w:rsid w:val="00B4258B"/>
    <w:rsid w:val="00BF3595"/>
    <w:rsid w:val="00C008B7"/>
    <w:rsid w:val="00C76648"/>
    <w:rsid w:val="00CE5065"/>
    <w:rsid w:val="00DA48AC"/>
    <w:rsid w:val="00E70951"/>
    <w:rsid w:val="00EB0453"/>
    <w:rsid w:val="00EE67F8"/>
    <w:rsid w:val="00EF4D0D"/>
    <w:rsid w:val="00F13465"/>
    <w:rsid w:val="00F5418E"/>
    <w:rsid w:val="00F67B71"/>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Administrator</cp:lastModifiedBy>
  <cp:revision>2</cp:revision>
  <dcterms:created xsi:type="dcterms:W3CDTF">2020-01-15T06:56:00Z</dcterms:created>
  <dcterms:modified xsi:type="dcterms:W3CDTF">2020-01-15T06:56:00Z</dcterms:modified>
</cp:coreProperties>
</file>